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P"/>
      </w:pPr>
      <w:r>
        <w:rPr>
          <w:rtl w:val="0"/>
          <w:lang w:val="en-US"/>
        </w:rPr>
        <w:t>Section number and title complies with the Construction Specifications Institute</w:t>
      </w:r>
      <w:r>
        <w:rPr>
          <w:rtl w:val="0"/>
          <w:lang w:val="en-US"/>
        </w:rPr>
        <w:t>’</w:t>
      </w:r>
      <w:r>
        <w:rPr>
          <w:rtl w:val="0"/>
          <w:lang w:val="en-US"/>
        </w:rPr>
        <w:t>s (CSI</w:t>
      </w:r>
      <w:r>
        <w:rPr>
          <w:rtl w:val="0"/>
          <w:lang w:val="en-US"/>
        </w:rPr>
        <w:t>’</w:t>
      </w:r>
      <w:r>
        <w:rPr>
          <w:rtl w:val="0"/>
          <w:lang w:val="en-US"/>
        </w:rPr>
        <w:t>s) MasterFormat</w:t>
      </w:r>
      <w:r>
        <w:rPr>
          <w:rtl w:val="0"/>
          <w:lang w:val="en-US"/>
        </w:rPr>
        <w:t>™</w:t>
      </w:r>
      <w:r>
        <w:rPr>
          <w:rtl w:val="0"/>
          <w:lang w:val="en-US"/>
        </w:rPr>
        <w:t xml:space="preserve">. </w:t>
      </w:r>
    </w:p>
    <w:p>
      <w:pPr>
        <w:pStyle w:val="TIP"/>
      </w:pPr>
      <w:r>
        <w:rPr>
          <w:rtl w:val="0"/>
          <w:lang w:val="en-US"/>
        </w:rPr>
        <w:t>Specification format follows recommendations in CSI</w:t>
      </w:r>
      <w:r>
        <w:rPr>
          <w:rtl w:val="0"/>
          <w:lang w:val="en-US"/>
        </w:rPr>
        <w:t>’</w:t>
      </w:r>
      <w:r>
        <w:rPr>
          <w:rtl w:val="0"/>
          <w:lang w:val="en-US"/>
        </w:rPr>
        <w:t>s SectionFormat</w:t>
      </w:r>
      <w:r>
        <w:rPr>
          <w:rtl w:val="0"/>
          <w:lang w:val="en-US"/>
        </w:rPr>
        <w:t xml:space="preserve">™ </w:t>
      </w:r>
      <w:r>
        <w:rPr>
          <w:rtl w:val="0"/>
          <w:lang w:val="en-US"/>
        </w:rPr>
        <w:t>and PageFormat</w:t>
      </w:r>
      <w:r>
        <w:rPr>
          <w:rtl w:val="0"/>
          <w:lang w:val="en-US"/>
        </w:rPr>
        <w:t xml:space="preserve">™ </w:t>
      </w:r>
      <w:r>
        <w:rPr>
          <w:rtl w:val="0"/>
          <w:lang w:val="en-US"/>
        </w:rPr>
        <w:t xml:space="preserve">with modifications to follow those used by AVITRU, LLC </w:t>
      </w:r>
      <w:r>
        <w:rPr>
          <w:rtl w:val="0"/>
          <w:lang w:val="en-US"/>
        </w:rPr>
        <w:t>“</w:t>
      </w:r>
      <w:r>
        <w:rPr>
          <w:rtl w:val="0"/>
          <w:lang w:val="en-US"/>
        </w:rPr>
        <w:t>MasterSpec</w:t>
      </w:r>
      <w:r>
        <w:rPr>
          <w:rtl w:val="0"/>
          <w:lang w:val="en-US"/>
        </w:rPr>
        <w:t xml:space="preserve">” </w:t>
      </w:r>
      <w:r>
        <w:rPr>
          <w:rtl w:val="0"/>
          <w:lang w:val="en-US"/>
        </w:rPr>
        <w:t xml:space="preserve">including the </w:t>
      </w:r>
      <w:r>
        <w:rPr>
          <w:rtl w:val="0"/>
          <w:lang w:val="en-US"/>
        </w:rPr>
        <w:t>“</w:t>
      </w:r>
      <w:r>
        <w:rPr>
          <w:rtl w:val="0"/>
          <w:lang w:val="en-US"/>
        </w:rPr>
        <w:t>MasterSpec word processing Styles.</w:t>
      </w:r>
    </w:p>
    <w:p>
      <w:pPr>
        <w:pStyle w:val="TIP"/>
      </w:pPr>
      <w:r>
        <w:rPr>
          <w:rtl w:val="0"/>
          <w:lang w:val="en-US"/>
        </w:rPr>
        <w:t>Where cross references to other Sections are used and will be retained, the Section titles and numbers should be verified form conformance with those used on the Project.</w:t>
      </w:r>
    </w:p>
    <w:p>
      <w:pPr>
        <w:pStyle w:val="TIP"/>
      </w:pPr>
      <w:r>
        <w:rPr>
          <w:rtl w:val="0"/>
          <w:lang w:val="en-US"/>
        </w:rPr>
        <w:t>This guide specification will require appropriate evaluation by licensed design professionals.  It is not intended to serve as a replacement for the engagement of a registered professional, and should be used only by those professional individuals competent enough to understand the significance and limitations of the systems specified.  Madrid Inc. assumes no liability, expressed or implied, resulting from the use of this guide specification.</w:t>
      </w:r>
    </w:p>
    <w:p>
      <w:pPr>
        <w:pStyle w:val="TIP"/>
      </w:pPr>
      <w:r>
        <w:rPr>
          <w:rtl w:val="0"/>
          <w:lang w:val="en-US"/>
        </w:rPr>
        <w:t>Visit the Madrid Inc. (</w:t>
      </w:r>
      <w:r>
        <w:rPr>
          <w:rStyle w:val="Hyperlink.0"/>
        </w:rPr>
        <w:fldChar w:fldCharType="begin" w:fldLock="0"/>
      </w:r>
      <w:r>
        <w:rPr>
          <w:rStyle w:val="Hyperlink.0"/>
        </w:rPr>
        <w:instrText xml:space="preserve"> HYPERLINK "http://www.madridinc.com"</w:instrText>
      </w:r>
      <w:r>
        <w:rPr>
          <w:rStyle w:val="Hyperlink.0"/>
        </w:rPr>
        <w:fldChar w:fldCharType="separate" w:fldLock="0"/>
      </w:r>
      <w:r>
        <w:rPr>
          <w:rStyle w:val="Hyperlink.0"/>
          <w:rtl w:val="0"/>
        </w:rPr>
        <w:t>www.madridinc.com</w:t>
      </w:r>
      <w:r>
        <w:rPr/>
        <w:fldChar w:fldCharType="end" w:fldLock="0"/>
      </w:r>
      <w:r>
        <w:rPr>
          <w:rStyle w:val="Hyperlink.0"/>
          <w:rtl w:val="0"/>
        </w:rPr>
        <w:t>) website for latest information.</w:t>
      </w:r>
    </w:p>
    <w:p>
      <w:pPr>
        <w:pStyle w:val="SCT"/>
      </w:pPr>
      <w:r>
        <w:rPr>
          <w:rStyle w:val="Hyperlink.0"/>
          <w:rtl w:val="0"/>
        </w:rPr>
        <w:t xml:space="preserve">SECTION 09 84 36 </w:t>
      </w:r>
      <w:r>
        <w:rPr>
          <w:rStyle w:val="Hyperlink.0"/>
          <w:rtl w:val="0"/>
        </w:rPr>
        <w:t xml:space="preserve">– </w:t>
      </w:r>
      <w:r>
        <w:rPr>
          <w:rStyle w:val="Hyperlink.0"/>
          <w:rtl w:val="0"/>
        </w:rPr>
        <w:t>Microperf Acoustical Board Ceiling Panels</w:t>
      </w:r>
    </w:p>
    <w:p>
      <w:pPr>
        <w:pStyle w:val="PRT"/>
        <w:numPr>
          <w:ilvl w:val="0"/>
          <w:numId w:val="2"/>
        </w:numPr>
      </w:pPr>
      <w:r>
        <w:rPr>
          <w:rStyle w:val="Hyperlink.0"/>
          <w:rtl w:val="0"/>
        </w:rPr>
        <w:t>GENERAL</w:t>
      </w:r>
    </w:p>
    <w:p>
      <w:pPr>
        <w:pStyle w:val="ART"/>
        <w:numPr>
          <w:ilvl w:val="3"/>
          <w:numId w:val="2"/>
        </w:numPr>
      </w:pPr>
      <w:r>
        <w:rPr>
          <w:rStyle w:val="Hyperlink.0"/>
          <w:rtl w:val="0"/>
        </w:rPr>
        <w:t>SUMMARY</w:t>
      </w:r>
    </w:p>
    <w:p>
      <w:pPr>
        <w:pStyle w:val="PR1"/>
        <w:numPr>
          <w:ilvl w:val="4"/>
          <w:numId w:val="2"/>
        </w:numPr>
      </w:pPr>
      <w:r>
        <w:rPr>
          <w:rStyle w:val="Hyperlink.0"/>
          <w:rtl w:val="0"/>
        </w:rPr>
        <w:t>Section Includes:  Sound absorbing micro-perforated wood ceiling panels with cellulose honeycomb core and an internal acoustical fleece layer.</w:t>
      </w:r>
    </w:p>
    <w:p>
      <w:pPr>
        <w:pStyle w:val="CMT"/>
      </w:pPr>
    </w:p>
    <w:p>
      <w:pPr>
        <w:pStyle w:val="PR1"/>
        <w:numPr>
          <w:ilvl w:val="4"/>
          <w:numId w:val="2"/>
        </w:numPr>
      </w:pPr>
      <w:r>
        <w:rPr>
          <w:rStyle w:val="Hyperlink.0"/>
          <w:rtl w:val="0"/>
        </w:rPr>
        <w:t>Related Requirements:</w:t>
      </w:r>
    </w:p>
    <w:p>
      <w:pPr>
        <w:pStyle w:val="PR2"/>
        <w:numPr>
          <w:ilvl w:val="5"/>
          <w:numId w:val="2"/>
        </w:numPr>
      </w:pPr>
      <w:r>
        <w:rPr>
          <w:rStyle w:val="Hyperlink.0"/>
          <w:rtl w:val="0"/>
        </w:rPr>
        <w:t>Section 09</w:t>
      </w:r>
      <w:r>
        <w:rPr>
          <w:rStyle w:val="Hyperlink.0"/>
          <w:rtl w:val="0"/>
        </w:rPr>
        <w:t> </w:t>
      </w:r>
      <w:r>
        <w:rPr>
          <w:rStyle w:val="Hyperlink.0"/>
          <w:rtl w:val="0"/>
        </w:rPr>
        <w:t>2</w:t>
      </w:r>
      <w:r>
        <w:rPr>
          <w:rStyle w:val="Hyperlink.0"/>
          <w:rtl w:val="0"/>
        </w:rPr>
        <w:t> </w:t>
      </w:r>
      <w:r>
        <w:rPr>
          <w:rStyle w:val="Hyperlink.0"/>
          <w:rtl w:val="0"/>
        </w:rPr>
        <w:t>226</w:t>
      </w:r>
      <w:r>
        <w:rPr>
          <w:rStyle w:val="Hyperlink.0"/>
          <w:rtl w:val="0"/>
        </w:rPr>
        <w:t> </w:t>
      </w:r>
      <w:r>
        <w:rPr>
          <w:rStyle w:val="Hyperlink.0"/>
          <w:rtl w:val="0"/>
        </w:rPr>
        <w:t>-</w:t>
      </w:r>
      <w:r>
        <w:rPr>
          <w:rStyle w:val="Hyperlink.0"/>
          <w:rtl w:val="0"/>
        </w:rPr>
        <w:t> </w:t>
      </w:r>
      <w:r>
        <w:rPr>
          <w:rStyle w:val="Hyperlink.0"/>
          <w:rtl w:val="0"/>
        </w:rPr>
        <w:t>Suspension Systems.</w:t>
      </w:r>
    </w:p>
    <w:p>
      <w:pPr>
        <w:pStyle w:val="PR2"/>
        <w:numPr>
          <w:ilvl w:val="5"/>
          <w:numId w:val="2"/>
        </w:numPr>
      </w:pPr>
      <w:r>
        <w:rPr>
          <w:rStyle w:val="Hyperlink.0"/>
          <w:rtl w:val="0"/>
        </w:rPr>
        <w:t>Section 09</w:t>
      </w:r>
      <w:r>
        <w:rPr>
          <w:rStyle w:val="Hyperlink.0"/>
          <w:rtl w:val="0"/>
        </w:rPr>
        <w:t> </w:t>
      </w:r>
      <w:r>
        <w:rPr>
          <w:rStyle w:val="Hyperlink.0"/>
          <w:rtl w:val="0"/>
        </w:rPr>
        <w:t>51</w:t>
      </w:r>
      <w:r>
        <w:rPr>
          <w:rStyle w:val="Hyperlink.0"/>
          <w:rtl w:val="0"/>
        </w:rPr>
        <w:t> </w:t>
      </w:r>
      <w:r>
        <w:rPr>
          <w:rStyle w:val="Hyperlink.0"/>
          <w:rtl w:val="0"/>
        </w:rPr>
        <w:t>13</w:t>
      </w:r>
      <w:r>
        <w:rPr>
          <w:rStyle w:val="Hyperlink.0"/>
          <w:rtl w:val="0"/>
        </w:rPr>
        <w:t> </w:t>
      </w:r>
      <w:r>
        <w:rPr>
          <w:rStyle w:val="Hyperlink.0"/>
          <w:rtl w:val="0"/>
        </w:rPr>
        <w:t>-</w:t>
      </w:r>
      <w:r>
        <w:rPr>
          <w:rStyle w:val="Hyperlink.0"/>
          <w:rtl w:val="0"/>
        </w:rPr>
        <w:t> </w:t>
      </w:r>
      <w:r>
        <w:rPr>
          <w:rStyle w:val="Hyperlink.0"/>
          <w:rtl w:val="0"/>
        </w:rPr>
        <w:t>Acoustical Panel Ceilings; suspension system.</w:t>
      </w:r>
    </w:p>
    <w:p>
      <w:pPr>
        <w:pStyle w:val="PR2"/>
        <w:numPr>
          <w:ilvl w:val="5"/>
          <w:numId w:val="2"/>
        </w:numPr>
      </w:pPr>
      <w:r>
        <w:rPr>
          <w:rStyle w:val="Hyperlink.0"/>
          <w:rtl w:val="0"/>
        </w:rPr>
        <w:t>Section 09</w:t>
      </w:r>
      <w:r>
        <w:rPr>
          <w:rStyle w:val="Hyperlink.0"/>
          <w:rtl w:val="0"/>
        </w:rPr>
        <w:t> </w:t>
      </w:r>
      <w:r>
        <w:rPr>
          <w:rStyle w:val="Hyperlink.0"/>
          <w:rtl w:val="0"/>
        </w:rPr>
        <w:t>54</w:t>
      </w:r>
      <w:r>
        <w:rPr>
          <w:rStyle w:val="Hyperlink.0"/>
          <w:rtl w:val="0"/>
        </w:rPr>
        <w:t> </w:t>
      </w:r>
      <w:r>
        <w:rPr>
          <w:rStyle w:val="Hyperlink.0"/>
          <w:rtl w:val="0"/>
        </w:rPr>
        <w:t>24</w:t>
      </w:r>
      <w:r>
        <w:rPr>
          <w:rStyle w:val="Hyperlink.0"/>
          <w:rtl w:val="0"/>
        </w:rPr>
        <w:t> </w:t>
      </w:r>
      <w:r>
        <w:rPr>
          <w:rStyle w:val="Hyperlink.0"/>
          <w:rtl w:val="0"/>
        </w:rPr>
        <w:t>-</w:t>
      </w:r>
      <w:r>
        <w:rPr>
          <w:rStyle w:val="Hyperlink.0"/>
          <w:rtl w:val="0"/>
        </w:rPr>
        <w:t> </w:t>
      </w:r>
      <w:r>
        <w:rPr>
          <w:rStyle w:val="Hyperlink.0"/>
          <w:rtl w:val="0"/>
        </w:rPr>
        <w:t>Linear Wood Ceilings.</w:t>
      </w:r>
    </w:p>
    <w:p>
      <w:pPr>
        <w:pStyle w:val="PR2"/>
        <w:numPr>
          <w:ilvl w:val="5"/>
          <w:numId w:val="2"/>
        </w:numPr>
      </w:pPr>
      <w:r>
        <w:rPr>
          <w:rStyle w:val="Hyperlink.0"/>
          <w:rtl w:val="0"/>
        </w:rPr>
        <w:t>Section 09</w:t>
      </w:r>
      <w:r>
        <w:rPr>
          <w:rStyle w:val="Hyperlink.0"/>
          <w:rtl w:val="0"/>
        </w:rPr>
        <w:t> </w:t>
      </w:r>
      <w:r>
        <w:rPr>
          <w:rStyle w:val="Hyperlink.0"/>
          <w:rtl w:val="0"/>
        </w:rPr>
        <w:t>54</w:t>
      </w:r>
      <w:r>
        <w:rPr>
          <w:rStyle w:val="Hyperlink.0"/>
          <w:rtl w:val="0"/>
        </w:rPr>
        <w:t> </w:t>
      </w:r>
      <w:r>
        <w:rPr>
          <w:rStyle w:val="Hyperlink.0"/>
          <w:rtl w:val="0"/>
        </w:rPr>
        <w:t>27</w:t>
      </w:r>
      <w:r>
        <w:rPr>
          <w:rStyle w:val="Hyperlink.0"/>
          <w:rtl w:val="0"/>
        </w:rPr>
        <w:t> </w:t>
      </w:r>
      <w:r>
        <w:rPr>
          <w:rStyle w:val="Hyperlink.0"/>
          <w:rtl w:val="0"/>
        </w:rPr>
        <w:t>-</w:t>
      </w:r>
      <w:r>
        <w:rPr>
          <w:rStyle w:val="Hyperlink.0"/>
          <w:rtl w:val="0"/>
        </w:rPr>
        <w:t> </w:t>
      </w:r>
      <w:r>
        <w:rPr>
          <w:rStyle w:val="Hyperlink.0"/>
          <w:rtl w:val="0"/>
        </w:rPr>
        <w:t>Suspended Wood Grille Ceilings.</w:t>
      </w:r>
    </w:p>
    <w:p>
      <w:pPr>
        <w:pStyle w:val="PR2"/>
        <w:numPr>
          <w:ilvl w:val="5"/>
          <w:numId w:val="2"/>
        </w:numPr>
      </w:pPr>
      <w:r>
        <w:rPr>
          <w:rStyle w:val="Hyperlink.0"/>
          <w:rtl w:val="0"/>
        </w:rPr>
        <w:t>Section 09</w:t>
      </w:r>
      <w:r>
        <w:rPr>
          <w:rStyle w:val="Hyperlink.0"/>
          <w:rtl w:val="0"/>
        </w:rPr>
        <w:t> </w:t>
      </w:r>
      <w:r>
        <w:rPr>
          <w:rStyle w:val="Hyperlink.0"/>
          <w:rtl w:val="0"/>
        </w:rPr>
        <w:t>54</w:t>
      </w:r>
      <w:r>
        <w:rPr>
          <w:rStyle w:val="Hyperlink.0"/>
          <w:rtl w:val="0"/>
        </w:rPr>
        <w:t> </w:t>
      </w:r>
      <w:r>
        <w:rPr>
          <w:rStyle w:val="Hyperlink.0"/>
          <w:rtl w:val="0"/>
        </w:rPr>
        <w:t>33</w:t>
      </w:r>
      <w:r>
        <w:rPr>
          <w:rStyle w:val="Hyperlink.0"/>
          <w:rtl w:val="0"/>
        </w:rPr>
        <w:t> </w:t>
      </w:r>
      <w:r>
        <w:rPr>
          <w:rStyle w:val="Hyperlink.0"/>
          <w:rtl w:val="0"/>
        </w:rPr>
        <w:t>-</w:t>
      </w:r>
      <w:r>
        <w:rPr>
          <w:rStyle w:val="Hyperlink.0"/>
          <w:rtl w:val="0"/>
        </w:rPr>
        <w:t> </w:t>
      </w:r>
      <w:r>
        <w:rPr>
          <w:rStyle w:val="Hyperlink.0"/>
          <w:rtl w:val="0"/>
        </w:rPr>
        <w:t>Wood Coffered Ceilings.</w:t>
      </w:r>
    </w:p>
    <w:p>
      <w:pPr>
        <w:pStyle w:val="PR2"/>
        <w:numPr>
          <w:ilvl w:val="5"/>
          <w:numId w:val="2"/>
        </w:numPr>
      </w:pPr>
      <w:r>
        <w:rPr>
          <w:rStyle w:val="Hyperlink.0"/>
          <w:rtl w:val="0"/>
        </w:rPr>
        <w:t>Section 09</w:t>
      </w:r>
      <w:r>
        <w:rPr>
          <w:rStyle w:val="Hyperlink.0"/>
          <w:rtl w:val="0"/>
        </w:rPr>
        <w:t> </w:t>
      </w:r>
      <w:r>
        <w:rPr>
          <w:rStyle w:val="Hyperlink.0"/>
          <w:rtl w:val="0"/>
        </w:rPr>
        <w:t>54</w:t>
      </w:r>
      <w:r>
        <w:rPr>
          <w:rStyle w:val="Hyperlink.0"/>
          <w:rtl w:val="0"/>
        </w:rPr>
        <w:t> </w:t>
      </w:r>
      <w:r>
        <w:rPr>
          <w:rStyle w:val="Hyperlink.0"/>
          <w:rtl w:val="0"/>
        </w:rPr>
        <w:t>63</w:t>
      </w:r>
      <w:r>
        <w:rPr>
          <w:rStyle w:val="Hyperlink.0"/>
          <w:rtl w:val="0"/>
        </w:rPr>
        <w:t> </w:t>
      </w:r>
      <w:r>
        <w:rPr>
          <w:rStyle w:val="Hyperlink.0"/>
          <w:rtl w:val="0"/>
        </w:rPr>
        <w:t>-</w:t>
      </w:r>
      <w:r>
        <w:rPr>
          <w:rStyle w:val="Hyperlink.0"/>
          <w:rtl w:val="0"/>
        </w:rPr>
        <w:t> </w:t>
      </w:r>
      <w:r>
        <w:rPr>
          <w:rStyle w:val="Hyperlink.0"/>
          <w:rtl w:val="0"/>
        </w:rPr>
        <w:t>Suspended Curved Wood Canopies.</w:t>
      </w:r>
    </w:p>
    <w:p>
      <w:pPr>
        <w:pStyle w:val="PR2"/>
        <w:numPr>
          <w:ilvl w:val="5"/>
          <w:numId w:val="2"/>
        </w:numPr>
      </w:pPr>
      <w:r>
        <w:rPr>
          <w:rStyle w:val="Hyperlink.0"/>
          <w:rtl w:val="0"/>
        </w:rPr>
        <w:t>Section 09</w:t>
      </w:r>
      <w:r>
        <w:rPr>
          <w:rStyle w:val="Hyperlink.0"/>
          <w:rtl w:val="0"/>
        </w:rPr>
        <w:t> </w:t>
      </w:r>
      <w:r>
        <w:rPr>
          <w:rStyle w:val="Hyperlink.0"/>
          <w:rtl w:val="0"/>
        </w:rPr>
        <w:t>84</w:t>
      </w:r>
      <w:r>
        <w:rPr>
          <w:rStyle w:val="Hyperlink.0"/>
          <w:rtl w:val="0"/>
        </w:rPr>
        <w:t> </w:t>
      </w:r>
      <w:r>
        <w:rPr>
          <w:rStyle w:val="Hyperlink.0"/>
          <w:rtl w:val="0"/>
        </w:rPr>
        <w:t>33</w:t>
      </w:r>
      <w:r>
        <w:rPr>
          <w:rStyle w:val="Hyperlink.0"/>
          <w:rtl w:val="0"/>
        </w:rPr>
        <w:t> – </w:t>
      </w:r>
      <w:r>
        <w:rPr>
          <w:rStyle w:val="Hyperlink.0"/>
          <w:rtl w:val="0"/>
        </w:rPr>
        <w:t>Microperf Acoustical Board Wall Panels.</w:t>
      </w:r>
    </w:p>
    <w:p>
      <w:pPr>
        <w:pStyle w:val="ART"/>
        <w:numPr>
          <w:ilvl w:val="3"/>
          <w:numId w:val="2"/>
        </w:numPr>
      </w:pPr>
      <w:r>
        <w:rPr>
          <w:rStyle w:val="Hyperlink.0"/>
          <w:rtl w:val="0"/>
        </w:rPr>
        <w:t>REFERENCES</w:t>
      </w:r>
    </w:p>
    <w:p>
      <w:pPr>
        <w:pStyle w:val="CMT"/>
      </w:pPr>
    </w:p>
    <w:p>
      <w:pPr>
        <w:pStyle w:val="PR1"/>
        <w:numPr>
          <w:ilvl w:val="4"/>
          <w:numId w:val="2"/>
        </w:numPr>
      </w:pPr>
      <w:r>
        <w:rPr>
          <w:rStyle w:val="Hyperlink.0"/>
          <w:rtl w:val="0"/>
        </w:rPr>
        <w:t>ASTM International (ASTM):</w:t>
      </w:r>
    </w:p>
    <w:p>
      <w:pPr>
        <w:pStyle w:val="PR2"/>
        <w:numPr>
          <w:ilvl w:val="5"/>
          <w:numId w:val="2"/>
        </w:numPr>
      </w:pPr>
      <w:r>
        <w:rPr>
          <w:rStyle w:val="Hyperlink.0"/>
          <w:rtl w:val="0"/>
        </w:rPr>
        <w:t>A641/A641M:  Standard Specification for Zinc-Coated (Galvanized) Carbon Steel Wire.</w:t>
      </w:r>
    </w:p>
    <w:p>
      <w:pPr>
        <w:pStyle w:val="PR2"/>
        <w:numPr>
          <w:ilvl w:val="5"/>
          <w:numId w:val="2"/>
        </w:numPr>
      </w:pPr>
      <w:r>
        <w:rPr>
          <w:rStyle w:val="Hyperlink.0"/>
          <w:rtl w:val="0"/>
        </w:rPr>
        <w:t>C635/C635M:  Standard Specification for Manufacture, Performance, and Testing of Metal Suspension Systems for Acoustical Tile and Lay-in Panel Ceilings.</w:t>
      </w:r>
    </w:p>
    <w:p>
      <w:pPr>
        <w:pStyle w:val="PR2"/>
        <w:numPr>
          <w:ilvl w:val="5"/>
          <w:numId w:val="2"/>
        </w:numPr>
      </w:pPr>
      <w:r>
        <w:rPr>
          <w:rStyle w:val="Hyperlink.0"/>
          <w:rtl w:val="0"/>
        </w:rPr>
        <w:t>C636/C636M:  Standard Practice for Installation of Metal Ceiling Suspension Systems for Acoustical Tile and Lay-In Panels.</w:t>
      </w:r>
    </w:p>
    <w:p>
      <w:pPr>
        <w:pStyle w:val="PR2"/>
        <w:numPr>
          <w:ilvl w:val="5"/>
          <w:numId w:val="2"/>
        </w:numPr>
      </w:pPr>
      <w:r>
        <w:rPr>
          <w:rStyle w:val="Hyperlink.0"/>
          <w:rtl w:val="0"/>
        </w:rPr>
        <w:t xml:space="preserve">ISO 354:  Acoustics </w:t>
      </w:r>
      <w:r>
        <w:rPr>
          <w:rStyle w:val="Hyperlink.0"/>
          <w:rtl w:val="0"/>
        </w:rPr>
        <w:t xml:space="preserve">– </w:t>
      </w:r>
      <w:r>
        <w:rPr>
          <w:rStyle w:val="Hyperlink.0"/>
          <w:rtl w:val="0"/>
        </w:rPr>
        <w:t>Measurement of Sound Absorption in a Reverberation Room; Sound Absorption and Sound Absorption Coefficients.</w:t>
      </w:r>
    </w:p>
    <w:p>
      <w:pPr>
        <w:pStyle w:val="PR2"/>
        <w:numPr>
          <w:ilvl w:val="5"/>
          <w:numId w:val="2"/>
        </w:numPr>
      </w:pPr>
      <w:r>
        <w:rPr>
          <w:rStyle w:val="Hyperlink.0"/>
          <w:rtl w:val="0"/>
        </w:rPr>
        <w:t>E84: Surface Burning Characteristics of Building Materials.</w:t>
      </w:r>
    </w:p>
    <w:p>
      <w:pPr>
        <w:pStyle w:val="PR1"/>
        <w:numPr>
          <w:ilvl w:val="4"/>
          <w:numId w:val="2"/>
        </w:numPr>
      </w:pPr>
      <w:r>
        <w:rPr>
          <w:rStyle w:val="Hyperlink.0"/>
          <w:rtl w:val="0"/>
        </w:rPr>
        <w:t>Ceilings and Interior Systems Construction Association (CISCA):  Ceiling Systems Handbook.</w:t>
      </w:r>
    </w:p>
    <w:p>
      <w:pPr>
        <w:pStyle w:val="CMT"/>
      </w:pPr>
    </w:p>
    <w:p>
      <w:pPr>
        <w:pStyle w:val="PR1"/>
        <w:numPr>
          <w:ilvl w:val="4"/>
          <w:numId w:val="2"/>
        </w:numPr>
      </w:pPr>
      <w:r>
        <w:rPr>
          <w:rStyle w:val="Hyperlink.0"/>
          <w:rtl w:val="0"/>
        </w:rPr>
        <w:t>[FSC</w:t>
      </w:r>
      <w:r>
        <w:rPr>
          <w:rStyle w:val="None"/>
          <w:vertAlign w:val="superscript"/>
          <w:rtl w:val="0"/>
          <w:lang w:val="en-US"/>
        </w:rPr>
        <w:t>®</w:t>
      </w:r>
      <w:r>
        <w:rPr>
          <w:rStyle w:val="Hyperlink.0"/>
          <w:rtl w:val="0"/>
        </w:rPr>
        <w:t xml:space="preserve"> CoC: Forest Stewardship Council</w:t>
      </w:r>
      <w:r>
        <w:rPr>
          <w:rStyle w:val="None"/>
          <w:vertAlign w:val="superscript"/>
          <w:rtl w:val="0"/>
          <w:lang w:val="en-US"/>
        </w:rPr>
        <w:t>®</w:t>
      </w:r>
      <w:r>
        <w:rPr>
          <w:rStyle w:val="Hyperlink.0"/>
          <w:rtl w:val="0"/>
        </w:rPr>
        <w:t xml:space="preserve"> Chain of Custody Certification]</w:t>
      </w:r>
    </w:p>
    <w:p>
      <w:pPr>
        <w:pStyle w:val="ART"/>
        <w:numPr>
          <w:ilvl w:val="3"/>
          <w:numId w:val="2"/>
        </w:numPr>
      </w:pPr>
      <w:r>
        <w:rPr>
          <w:rStyle w:val="Hyperlink.0"/>
          <w:rtl w:val="0"/>
        </w:rPr>
        <w:t>ADMINISTRATIVE REQUIREMENTS</w:t>
      </w:r>
    </w:p>
    <w:p>
      <w:pPr>
        <w:pStyle w:val="PR1"/>
        <w:numPr>
          <w:ilvl w:val="4"/>
          <w:numId w:val="2"/>
        </w:numPr>
      </w:pPr>
      <w:r>
        <w:rPr>
          <w:rStyle w:val="Hyperlink.0"/>
          <w:rtl w:val="0"/>
        </w:rPr>
        <w:t>Coordination:</w:t>
      </w:r>
    </w:p>
    <w:p>
      <w:pPr>
        <w:pStyle w:val="PR2"/>
        <w:numPr>
          <w:ilvl w:val="5"/>
          <w:numId w:val="2"/>
        </w:numPr>
      </w:pPr>
      <w:r>
        <w:rPr>
          <w:rStyle w:val="Hyperlink.0"/>
          <w:rtl w:val="0"/>
        </w:rPr>
        <w:t>Coordinate suspension hanger locations with sizes and locations of wood panels.</w:t>
      </w:r>
    </w:p>
    <w:p>
      <w:pPr>
        <w:pStyle w:val="PR2"/>
        <w:numPr>
          <w:ilvl w:val="5"/>
          <w:numId w:val="2"/>
        </w:numPr>
      </w:pPr>
      <w:r>
        <w:rPr>
          <w:rStyle w:val="Hyperlink.0"/>
          <w:rtl w:val="0"/>
        </w:rPr>
        <w:t>To extent practical, schedule installation of wood panels after work above ceiling is complete.</w:t>
      </w:r>
    </w:p>
    <w:p>
      <w:pPr>
        <w:pStyle w:val="PR1"/>
        <w:numPr>
          <w:ilvl w:val="4"/>
          <w:numId w:val="2"/>
        </w:numPr>
      </w:pPr>
      <w:r>
        <w:rPr>
          <w:rStyle w:val="Hyperlink.0"/>
          <w:rtl w:val="0"/>
        </w:rPr>
        <w:t>Pre-Installation Meeting:  Schedule a pre-installation at the site to coordinate work of suspension system and hanging of panels.</w:t>
      </w:r>
    </w:p>
    <w:p>
      <w:pPr>
        <w:pStyle w:val="PR2"/>
        <w:numPr>
          <w:ilvl w:val="5"/>
          <w:numId w:val="2"/>
        </w:numPr>
      </w:pPr>
      <w:r>
        <w:rPr>
          <w:rStyle w:val="Hyperlink.0"/>
          <w:rtl w:val="0"/>
        </w:rPr>
        <w:t>Meeting shall be attended by Contractor, Architect, and installer of system components.</w:t>
      </w:r>
    </w:p>
    <w:p>
      <w:pPr>
        <w:pStyle w:val="PR2"/>
        <w:numPr>
          <w:ilvl w:val="5"/>
          <w:numId w:val="2"/>
        </w:numPr>
      </w:pPr>
      <w:r>
        <w:rPr>
          <w:rStyle w:val="Hyperlink.0"/>
          <w:rtl w:val="0"/>
        </w:rPr>
        <w:t>Comply with requirements in [</w:t>
      </w:r>
      <w:r>
        <w:rPr>
          <w:rStyle w:val="None"/>
          <w:b w:val="1"/>
          <w:bCs w:val="1"/>
          <w:rtl w:val="0"/>
          <w:lang w:val="en-US"/>
        </w:rPr>
        <w:t>Section 01</w:t>
      </w:r>
      <w:r>
        <w:rPr>
          <w:rStyle w:val="None"/>
          <w:b w:val="1"/>
          <w:bCs w:val="1"/>
          <w:rtl w:val="0"/>
          <w:lang w:val="en-US"/>
        </w:rPr>
        <w:t> </w:t>
      </w:r>
      <w:r>
        <w:rPr>
          <w:rStyle w:val="None"/>
          <w:b w:val="1"/>
          <w:bCs w:val="1"/>
          <w:rtl w:val="0"/>
          <w:lang w:val="en-US"/>
        </w:rPr>
        <w:t>31</w:t>
      </w:r>
      <w:r>
        <w:rPr>
          <w:rStyle w:val="None"/>
          <w:b w:val="1"/>
          <w:bCs w:val="1"/>
          <w:rtl w:val="0"/>
          <w:lang w:val="en-US"/>
        </w:rPr>
        <w:t> </w:t>
      </w:r>
      <w:r>
        <w:rPr>
          <w:rStyle w:val="None"/>
          <w:b w:val="1"/>
          <w:bCs w:val="1"/>
          <w:rtl w:val="0"/>
          <w:lang w:val="en-US"/>
        </w:rPr>
        <w:t xml:space="preserve">00 </w:t>
      </w:r>
      <w:r>
        <w:rPr>
          <w:rStyle w:val="None"/>
          <w:b w:val="1"/>
          <w:bCs w:val="1"/>
          <w:rtl w:val="0"/>
          <w:lang w:val="en-US"/>
        </w:rPr>
        <w:t>“</w:t>
      </w:r>
      <w:r>
        <w:rPr>
          <w:rStyle w:val="None"/>
          <w:b w:val="1"/>
          <w:bCs w:val="1"/>
          <w:rtl w:val="0"/>
          <w:lang w:val="en-US"/>
        </w:rPr>
        <w:t>Project Management and Coordination</w:t>
      </w:r>
      <w:r>
        <w:rPr>
          <w:rStyle w:val="None"/>
          <w:b w:val="1"/>
          <w:bCs w:val="1"/>
          <w:rtl w:val="0"/>
          <w:lang w:val="en-US"/>
        </w:rPr>
        <w:t>”</w:t>
      </w:r>
      <w:r>
        <w:rPr>
          <w:rStyle w:val="None"/>
          <w:b w:val="1"/>
          <w:bCs w:val="1"/>
          <w:rtl w:val="0"/>
          <w:lang w:val="en-US"/>
        </w:rPr>
        <w:t>.</w:t>
      </w:r>
      <w:r>
        <w:rPr>
          <w:rStyle w:val="Hyperlink.0"/>
          <w:rtl w:val="0"/>
        </w:rPr>
        <w:t>]</w:t>
      </w:r>
      <w:r>
        <w:rPr>
          <w:rStyle w:val="None"/>
          <w:b w:val="1"/>
          <w:bCs w:val="1"/>
          <w:rtl w:val="0"/>
          <w:lang w:val="en-US"/>
        </w:rPr>
        <w:t>&lt;Insert Section number and title.&gt;</w:t>
      </w:r>
    </w:p>
    <w:p>
      <w:pPr>
        <w:pStyle w:val="ART"/>
        <w:numPr>
          <w:ilvl w:val="3"/>
          <w:numId w:val="2"/>
        </w:numPr>
      </w:pPr>
      <w:r>
        <w:rPr>
          <w:rStyle w:val="Hyperlink.0"/>
          <w:rtl w:val="0"/>
        </w:rPr>
        <w:t>ACTION SUBMITTALS</w:t>
      </w:r>
    </w:p>
    <w:p>
      <w:pPr>
        <w:pStyle w:val="PR1"/>
        <w:numPr>
          <w:ilvl w:val="4"/>
          <w:numId w:val="2"/>
        </w:numPr>
      </w:pPr>
      <w:r>
        <w:rPr>
          <w:rStyle w:val="Hyperlink.0"/>
          <w:rtl w:val="0"/>
        </w:rPr>
        <w:t>Shop Drawings:  Show panel layout and spacing, typical panel dimensions, and ceiling suspension.</w:t>
      </w:r>
    </w:p>
    <w:p>
      <w:pPr>
        <w:pStyle w:val="PR2"/>
        <w:numPr>
          <w:ilvl w:val="5"/>
          <w:numId w:val="2"/>
        </w:numPr>
        <w:bidi w:val="0"/>
        <w:ind w:right="0"/>
        <w:jc w:val="both"/>
        <w:rPr>
          <w:b w:val="1"/>
          <w:bCs w:val="1"/>
          <w:rtl w:val="0"/>
          <w:lang w:val="en-US"/>
        </w:rPr>
      </w:pPr>
      <w:r>
        <w:rPr>
          <w:rStyle w:val="Hyperlink.0"/>
          <w:b w:val="1"/>
          <w:bCs w:val="1"/>
          <w:rtl w:val="0"/>
          <w:lang w:val="en-US"/>
        </w:rPr>
        <w:t>[Include details of suspension system, and include the following.</w:t>
      </w:r>
    </w:p>
    <w:p>
      <w:pPr>
        <w:pStyle w:val="PR3"/>
        <w:numPr>
          <w:ilvl w:val="6"/>
          <w:numId w:val="2"/>
        </w:numPr>
        <w:bidi w:val="0"/>
        <w:ind w:right="0"/>
        <w:jc w:val="both"/>
        <w:rPr>
          <w:b w:val="1"/>
          <w:bCs w:val="1"/>
          <w:rtl w:val="0"/>
          <w:lang w:val="en-US"/>
        </w:rPr>
      </w:pPr>
      <w:r>
        <w:rPr>
          <w:rStyle w:val="Hyperlink.0"/>
          <w:b w:val="1"/>
          <w:bCs w:val="1"/>
          <w:rtl w:val="0"/>
          <w:lang w:val="en-US"/>
        </w:rPr>
        <w:t>Layout of suspension system and location of hangers, seismic braces, and trapezes.</w:t>
      </w:r>
    </w:p>
    <w:p>
      <w:pPr>
        <w:pStyle w:val="PR3"/>
        <w:numPr>
          <w:ilvl w:val="6"/>
          <w:numId w:val="2"/>
        </w:numPr>
        <w:bidi w:val="0"/>
        <w:ind w:right="0"/>
        <w:jc w:val="both"/>
        <w:rPr>
          <w:b w:val="1"/>
          <w:bCs w:val="1"/>
          <w:rtl w:val="0"/>
          <w:lang w:val="en-US"/>
        </w:rPr>
      </w:pPr>
      <w:r>
        <w:rPr>
          <w:rStyle w:val="Hyperlink.0"/>
          <w:b w:val="1"/>
          <w:bCs w:val="1"/>
          <w:rtl w:val="0"/>
          <w:lang w:val="en-US"/>
        </w:rPr>
        <w:t>Inserts and hanger spacing and fastening details.</w:t>
      </w:r>
    </w:p>
    <w:p>
      <w:pPr>
        <w:pStyle w:val="PR3"/>
        <w:numPr>
          <w:ilvl w:val="6"/>
          <w:numId w:val="2"/>
        </w:numPr>
      </w:pPr>
      <w:r>
        <w:rPr>
          <w:rStyle w:val="None"/>
          <w:b w:val="1"/>
          <w:bCs w:val="1"/>
          <w:rtl w:val="0"/>
          <w:lang w:val="en-US"/>
        </w:rPr>
        <w:t>Trapeze details.]</w:t>
      </w:r>
    </w:p>
    <w:p>
      <w:pPr>
        <w:pStyle w:val="CMT"/>
      </w:pPr>
    </w:p>
    <w:p>
      <w:pPr>
        <w:pStyle w:val="PR2"/>
        <w:numPr>
          <w:ilvl w:val="5"/>
          <w:numId w:val="2"/>
        </w:numPr>
        <w:bidi w:val="0"/>
        <w:ind w:right="0"/>
        <w:jc w:val="both"/>
        <w:rPr>
          <w:b w:val="1"/>
          <w:bCs w:val="1"/>
          <w:rtl w:val="0"/>
          <w:lang w:val="en-US"/>
        </w:rPr>
      </w:pPr>
      <w:r>
        <w:rPr>
          <w:rStyle w:val="Hyperlink.0"/>
          <w:b w:val="1"/>
          <w:bCs w:val="1"/>
          <w:rtl w:val="0"/>
          <w:lang w:val="en-US"/>
        </w:rPr>
        <w:t>[Include dimensions of custom-sized panels.]</w:t>
      </w:r>
    </w:p>
    <w:p>
      <w:pPr>
        <w:pStyle w:val="PR1"/>
        <w:numPr>
          <w:ilvl w:val="4"/>
          <w:numId w:val="2"/>
        </w:numPr>
      </w:pPr>
      <w:r>
        <w:rPr>
          <w:rStyle w:val="Hyperlink.0"/>
          <w:rtl w:val="0"/>
        </w:rPr>
        <w:t>Product Data:  Manufacturer</w:t>
      </w:r>
      <w:r>
        <w:rPr>
          <w:rStyle w:val="Hyperlink.0"/>
          <w:rtl w:val="0"/>
        </w:rPr>
        <w:t>’</w:t>
      </w:r>
      <w:r>
        <w:rPr>
          <w:rStyle w:val="Hyperlink.0"/>
          <w:rtl w:val="0"/>
        </w:rPr>
        <w:t>s descriptive information for the wood panels, wood species, solid or wood veneer, [</w:t>
      </w:r>
      <w:r>
        <w:rPr>
          <w:rStyle w:val="None"/>
          <w:b w:val="1"/>
          <w:bCs w:val="1"/>
          <w:rtl w:val="0"/>
          <w:lang w:val="en-US"/>
        </w:rPr>
        <w:t>and suspension system</w:t>
      </w:r>
      <w:r>
        <w:rPr>
          <w:rStyle w:val="Hyperlink.0"/>
          <w:rtl w:val="0"/>
        </w:rPr>
        <w:t>].  [</w:t>
      </w:r>
      <w:r>
        <w:rPr>
          <w:rStyle w:val="None"/>
          <w:b w:val="1"/>
          <w:bCs w:val="1"/>
          <w:rtl w:val="0"/>
          <w:lang w:val="en-US"/>
        </w:rPr>
        <w:t>Include panel flammability characteristics.</w:t>
      </w:r>
      <w:r>
        <w:rPr>
          <w:rStyle w:val="Hyperlink.0"/>
          <w:rtl w:val="0"/>
        </w:rPr>
        <w:t>]</w:t>
      </w:r>
    </w:p>
    <w:p>
      <w:pPr>
        <w:pStyle w:val="PR1"/>
        <w:numPr>
          <w:ilvl w:val="4"/>
          <w:numId w:val="2"/>
        </w:numPr>
      </w:pPr>
      <w:r>
        <w:rPr>
          <w:rStyle w:val="Hyperlink.0"/>
          <w:rtl w:val="0"/>
        </w:rPr>
        <w:t>Samples:</w:t>
      </w:r>
    </w:p>
    <w:p>
      <w:pPr>
        <w:pStyle w:val="PR2"/>
        <w:numPr>
          <w:ilvl w:val="5"/>
          <w:numId w:val="2"/>
        </w:numPr>
      </w:pPr>
      <w:r>
        <w:rPr>
          <w:rStyle w:val="Hyperlink.0"/>
          <w:rtl w:val="0"/>
        </w:rPr>
        <w:t>Sample shall be fabricated using selected laminate or wood veneer with selected finish.</w:t>
      </w:r>
    </w:p>
    <w:p>
      <w:pPr>
        <w:pStyle w:val="PR2"/>
        <w:numPr>
          <w:ilvl w:val="5"/>
          <w:numId w:val="2"/>
        </w:numPr>
      </w:pPr>
      <w:r>
        <w:rPr>
          <w:rStyle w:val="Hyperlink.0"/>
          <w:rtl w:val="0"/>
        </w:rPr>
        <w:t>Size:  Full panel.</w:t>
      </w:r>
    </w:p>
    <w:p>
      <w:pPr>
        <w:pStyle w:val="CMT"/>
      </w:pPr>
    </w:p>
    <w:p>
      <w:pPr>
        <w:pStyle w:val="PR1"/>
        <w:numPr>
          <w:ilvl w:val="4"/>
          <w:numId w:val="2"/>
        </w:numPr>
      </w:pPr>
      <w:r>
        <w:rPr>
          <w:rStyle w:val="Hyperlink.0"/>
          <w:rtl w:val="0"/>
        </w:rPr>
        <w:t>[Delegated Design:  Seismic and structural design engineering calculations for suspension system prepared by the engineer in responsible charge retained by the Contractor shall be submitted to demonstrate compliance with governing code and adequacy of suspension system to withstand specified seismic and structural loading.  Engineer shall be a civil or structural engineer licensed in the State of [___________].]</w:t>
      </w:r>
    </w:p>
    <w:p>
      <w:pPr>
        <w:pStyle w:val="CMT"/>
      </w:pPr>
    </w:p>
    <w:p>
      <w:pPr>
        <w:pStyle w:val="PR1"/>
        <w:numPr>
          <w:ilvl w:val="4"/>
          <w:numId w:val="2"/>
        </w:numPr>
      </w:pPr>
      <w:r>
        <w:rPr>
          <w:rStyle w:val="Hyperlink.0"/>
          <w:rtl w:val="0"/>
        </w:rPr>
        <w:t>[Sustainable Design (LEED):</w:t>
      </w:r>
    </w:p>
    <w:p>
      <w:pPr>
        <w:pStyle w:val="PR2"/>
        <w:numPr>
          <w:ilvl w:val="5"/>
          <w:numId w:val="2"/>
        </w:numPr>
        <w:bidi w:val="0"/>
        <w:ind w:right="0"/>
        <w:jc w:val="both"/>
        <w:rPr>
          <w:b w:val="1"/>
          <w:bCs w:val="1"/>
          <w:rtl w:val="0"/>
          <w:lang w:val="en-US"/>
        </w:rPr>
      </w:pPr>
      <w:r>
        <w:rPr>
          <w:rStyle w:val="Hyperlink.0"/>
          <w:b w:val="1"/>
          <w:bCs w:val="1"/>
          <w:rtl w:val="0"/>
          <w:lang w:val="en-US"/>
        </w:rPr>
        <w:t>General:</w:t>
      </w:r>
    </w:p>
    <w:p>
      <w:pPr>
        <w:pStyle w:val="PR3"/>
        <w:numPr>
          <w:ilvl w:val="6"/>
          <w:numId w:val="2"/>
        </w:numPr>
        <w:bidi w:val="0"/>
        <w:ind w:right="0"/>
        <w:jc w:val="both"/>
        <w:rPr>
          <w:b w:val="1"/>
          <w:bCs w:val="1"/>
          <w:rtl w:val="0"/>
          <w:lang w:val="en-US"/>
        </w:rPr>
      </w:pPr>
      <w:r>
        <w:rPr>
          <w:rStyle w:val="Hyperlink.0"/>
          <w:b w:val="1"/>
          <w:bCs w:val="1"/>
          <w:rtl w:val="0"/>
          <w:lang w:val="en-US"/>
        </w:rPr>
        <w:t>Submit information necessary to establish and document compliance with the LEED Certification goals for this Project.</w:t>
      </w:r>
    </w:p>
    <w:p>
      <w:pPr>
        <w:pStyle w:val="PR3"/>
        <w:numPr>
          <w:ilvl w:val="6"/>
          <w:numId w:val="2"/>
        </w:numPr>
        <w:bidi w:val="0"/>
        <w:ind w:right="0"/>
        <w:jc w:val="both"/>
        <w:rPr>
          <w:b w:val="1"/>
          <w:bCs w:val="1"/>
          <w:rtl w:val="0"/>
          <w:lang w:val="en-US"/>
        </w:rPr>
      </w:pPr>
      <w:r>
        <w:rPr>
          <w:rStyle w:val="Hyperlink.0"/>
          <w:b w:val="1"/>
          <w:bCs w:val="1"/>
          <w:rtl w:val="0"/>
          <w:lang w:val="en-US"/>
        </w:rPr>
        <w:t>LEED design submittals are in addition to other submittals.</w:t>
      </w:r>
    </w:p>
    <w:p>
      <w:pPr>
        <w:pStyle w:val="PR3"/>
        <w:numPr>
          <w:ilvl w:val="6"/>
          <w:numId w:val="2"/>
        </w:numPr>
        <w:bidi w:val="0"/>
        <w:ind w:right="0"/>
        <w:jc w:val="both"/>
        <w:rPr>
          <w:b w:val="1"/>
          <w:bCs w:val="1"/>
          <w:rtl w:val="0"/>
          <w:lang w:val="en-US"/>
        </w:rPr>
      </w:pPr>
      <w:r>
        <w:rPr>
          <w:rStyle w:val="Hyperlink.0"/>
          <w:b w:val="1"/>
          <w:bCs w:val="1"/>
          <w:rtl w:val="0"/>
          <w:lang w:val="en-US"/>
        </w:rPr>
        <w:t>If submitted item is identical to that submitted to comply with other requirements, submit duplicate copies as a separate submittal to verify compliance with specified LEED requirements.</w:t>
      </w:r>
    </w:p>
    <w:p>
      <w:pPr>
        <w:pStyle w:val="PR3"/>
        <w:numPr>
          <w:ilvl w:val="6"/>
          <w:numId w:val="2"/>
        </w:numPr>
        <w:bidi w:val="0"/>
        <w:ind w:right="0"/>
        <w:jc w:val="both"/>
        <w:rPr>
          <w:b w:val="1"/>
          <w:bCs w:val="1"/>
          <w:rtl w:val="0"/>
          <w:lang w:val="en-US"/>
        </w:rPr>
      </w:pPr>
      <w:r>
        <w:rPr>
          <w:rStyle w:val="Hyperlink.0"/>
          <w:b w:val="1"/>
          <w:bCs w:val="1"/>
          <w:rtl w:val="0"/>
          <w:lang w:val="en-US"/>
        </w:rPr>
        <w:t>Refer to Section 01</w:t>
      </w:r>
      <w:r>
        <w:rPr>
          <w:rStyle w:val="Hyperlink.0"/>
          <w:b w:val="1"/>
          <w:bCs w:val="1"/>
          <w:rtl w:val="0"/>
          <w:lang w:val="en-US"/>
        </w:rPr>
        <w:t> </w:t>
      </w:r>
      <w:r>
        <w:rPr>
          <w:rStyle w:val="Hyperlink.0"/>
          <w:b w:val="1"/>
          <w:bCs w:val="1"/>
          <w:rtl w:val="0"/>
          <w:lang w:val="en-US"/>
        </w:rPr>
        <w:t>81</w:t>
      </w:r>
      <w:r>
        <w:rPr>
          <w:rStyle w:val="Hyperlink.0"/>
          <w:b w:val="1"/>
          <w:bCs w:val="1"/>
          <w:rtl w:val="0"/>
          <w:lang w:val="en-US"/>
        </w:rPr>
        <w:t> </w:t>
      </w:r>
      <w:r>
        <w:rPr>
          <w:rStyle w:val="Hyperlink.0"/>
          <w:b w:val="1"/>
          <w:bCs w:val="1"/>
          <w:rtl w:val="0"/>
          <w:lang w:val="en-US"/>
        </w:rPr>
        <w:t xml:space="preserve">13 </w:t>
      </w:r>
      <w:r>
        <w:rPr>
          <w:rStyle w:val="Hyperlink.0"/>
          <w:b w:val="1"/>
          <w:bCs w:val="1"/>
          <w:rtl w:val="0"/>
          <w:lang w:val="en-US"/>
        </w:rPr>
        <w:t>“</w:t>
      </w:r>
      <w:r>
        <w:rPr>
          <w:rStyle w:val="Hyperlink.0"/>
          <w:b w:val="1"/>
          <w:bCs w:val="1"/>
          <w:rtl w:val="0"/>
          <w:lang w:val="en-US"/>
        </w:rPr>
        <w:t>Sustainable Design Requirements</w:t>
      </w:r>
      <w:r>
        <w:rPr>
          <w:rStyle w:val="Hyperlink.0"/>
          <w:b w:val="1"/>
          <w:bCs w:val="1"/>
          <w:rtl w:val="0"/>
          <w:lang w:val="en-US"/>
        </w:rPr>
        <w:t xml:space="preserve">” </w:t>
      </w:r>
      <w:r>
        <w:rPr>
          <w:rStyle w:val="Hyperlink.0"/>
          <w:b w:val="1"/>
          <w:bCs w:val="1"/>
          <w:rtl w:val="0"/>
          <w:lang w:val="en-US"/>
        </w:rPr>
        <w:t>for additional information and documentation requirements.</w:t>
      </w:r>
    </w:p>
    <w:p>
      <w:pPr>
        <w:pStyle w:val="PR2"/>
        <w:numPr>
          <w:ilvl w:val="5"/>
          <w:numId w:val="2"/>
        </w:numPr>
      </w:pPr>
      <w:r>
        <w:rPr>
          <w:rStyle w:val="None"/>
          <w:b w:val="1"/>
          <w:bCs w:val="1"/>
          <w:rtl w:val="0"/>
          <w:lang w:val="en-US"/>
        </w:rPr>
        <w:t>The following information shall be provided:</w:t>
      </w:r>
    </w:p>
    <w:p>
      <w:pPr>
        <w:pStyle w:val="PR3"/>
        <w:numPr>
          <w:ilvl w:val="6"/>
          <w:numId w:val="2"/>
        </w:numPr>
        <w:bidi w:val="0"/>
        <w:ind w:right="0"/>
        <w:jc w:val="both"/>
        <w:rPr>
          <w:b w:val="1"/>
          <w:bCs w:val="1"/>
          <w:rtl w:val="0"/>
          <w:lang w:val="en-US"/>
        </w:rPr>
      </w:pPr>
      <w:r>
        <w:rPr>
          <w:rStyle w:val="Hyperlink.0"/>
          <w:b w:val="1"/>
          <w:bCs w:val="1"/>
          <w:rtl w:val="0"/>
          <w:lang w:val="en-US"/>
        </w:rPr>
        <w:t>___________________________</w:t>
      </w:r>
      <w:r>
        <w:rPr>
          <w:rStyle w:val="None"/>
          <w:b w:val="0"/>
          <w:bCs w:val="0"/>
          <w:rtl w:val="0"/>
          <w:lang w:val="en-US"/>
        </w:rPr>
        <w:t>]</w:t>
      </w:r>
    </w:p>
    <w:p>
      <w:pPr>
        <w:pStyle w:val="ART"/>
        <w:numPr>
          <w:ilvl w:val="3"/>
          <w:numId w:val="2"/>
        </w:numPr>
      </w:pPr>
      <w:r>
        <w:rPr>
          <w:rStyle w:val="Hyperlink.0"/>
          <w:rtl w:val="0"/>
        </w:rPr>
        <w:t>INFORMATIONAL SUBMITTALS</w:t>
      </w:r>
    </w:p>
    <w:p>
      <w:pPr>
        <w:pStyle w:val="PR1"/>
        <w:numPr>
          <w:ilvl w:val="4"/>
          <w:numId w:val="2"/>
        </w:numPr>
      </w:pPr>
      <w:r>
        <w:rPr>
          <w:rStyle w:val="Hyperlink.0"/>
          <w:rtl w:val="0"/>
        </w:rPr>
        <w:t>Statement of installer qualifications.</w:t>
      </w:r>
    </w:p>
    <w:p>
      <w:pPr>
        <w:pStyle w:val="PR1"/>
        <w:numPr>
          <w:ilvl w:val="4"/>
          <w:numId w:val="2"/>
        </w:numPr>
      </w:pPr>
      <w:r>
        <w:rPr>
          <w:rStyle w:val="Hyperlink.0"/>
          <w:rtl w:val="0"/>
        </w:rPr>
        <w:t>[Certification that wood items meet specified fire-resistance characteristics if not included with product data.]</w:t>
      </w:r>
    </w:p>
    <w:p>
      <w:pPr>
        <w:pStyle w:val="PR1"/>
        <w:numPr>
          <w:ilvl w:val="4"/>
          <w:numId w:val="2"/>
        </w:numPr>
      </w:pPr>
      <w:r>
        <w:rPr>
          <w:rStyle w:val="Hyperlink.0"/>
          <w:rtl w:val="0"/>
        </w:rPr>
        <w:t>[Engineering calculations for seismic bracing.]</w:t>
      </w:r>
    </w:p>
    <w:p>
      <w:pPr>
        <w:pStyle w:val="ART"/>
        <w:numPr>
          <w:ilvl w:val="3"/>
          <w:numId w:val="2"/>
        </w:numPr>
      </w:pPr>
      <w:r>
        <w:rPr>
          <w:rStyle w:val="Hyperlink.0"/>
          <w:rtl w:val="0"/>
        </w:rPr>
        <w:t>CLOSEOUT SUBMITTALS</w:t>
      </w:r>
    </w:p>
    <w:p>
      <w:pPr>
        <w:pStyle w:val="PR1"/>
        <w:numPr>
          <w:ilvl w:val="4"/>
          <w:numId w:val="2"/>
        </w:numPr>
      </w:pPr>
      <w:r>
        <w:rPr>
          <w:rStyle w:val="Hyperlink.0"/>
          <w:rtl w:val="0"/>
        </w:rPr>
        <w:t>Maintenance data.</w:t>
      </w:r>
    </w:p>
    <w:p>
      <w:pPr>
        <w:pStyle w:val="ART"/>
        <w:numPr>
          <w:ilvl w:val="3"/>
          <w:numId w:val="2"/>
        </w:numPr>
      </w:pPr>
      <w:r>
        <w:rPr>
          <w:rStyle w:val="Hyperlink.0"/>
          <w:rtl w:val="0"/>
        </w:rPr>
        <w:t xml:space="preserve">QUALITY ASSURANCE </w:t>
      </w:r>
    </w:p>
    <w:p>
      <w:pPr>
        <w:pStyle w:val="CMT"/>
      </w:pPr>
    </w:p>
    <w:p>
      <w:pPr>
        <w:pStyle w:val="PR1"/>
        <w:numPr>
          <w:ilvl w:val="4"/>
          <w:numId w:val="2"/>
        </w:numPr>
      </w:pPr>
      <w:r>
        <w:rPr>
          <w:rStyle w:val="Hyperlink.0"/>
          <w:rtl w:val="0"/>
        </w:rPr>
        <w:t>Manufacturer Qualifications:  FSC Chain of Custody Certification.</w:t>
      </w:r>
    </w:p>
    <w:p>
      <w:pPr>
        <w:pStyle w:val="PR1"/>
        <w:numPr>
          <w:ilvl w:val="4"/>
          <w:numId w:val="2"/>
        </w:numPr>
      </w:pPr>
      <w:r>
        <w:rPr>
          <w:rStyle w:val="Hyperlink.0"/>
          <w:rtl w:val="0"/>
        </w:rPr>
        <w:t>Mockups:  First installed panels shall serve as mockup for review and approval by Architect of workmanship, visual effect, acoustical deflection, and interface with adjoining construction.</w:t>
      </w:r>
    </w:p>
    <w:p>
      <w:pPr>
        <w:pStyle w:val="PR2"/>
        <w:numPr>
          <w:ilvl w:val="5"/>
          <w:numId w:val="2"/>
        </w:numPr>
      </w:pPr>
      <w:r>
        <w:rPr>
          <w:rStyle w:val="Hyperlink.0"/>
          <w:rtl w:val="0"/>
        </w:rPr>
        <w:t xml:space="preserve">Mockup shall include a minimum of 4 </w:t>
      </w:r>
      <w:r>
        <w:rPr>
          <w:rStyle w:val="None"/>
          <w:b w:val="1"/>
          <w:bCs w:val="1"/>
          <w:rtl w:val="0"/>
          <w:lang w:val="en-US"/>
        </w:rPr>
        <w:t xml:space="preserve">[__] </w:t>
      </w:r>
      <w:r>
        <w:rPr>
          <w:rStyle w:val="Hyperlink.0"/>
          <w:rtl w:val="0"/>
        </w:rPr>
        <w:t>adjacent panels in approved layout.</w:t>
      </w:r>
    </w:p>
    <w:p>
      <w:pPr>
        <w:pStyle w:val="PR2"/>
        <w:numPr>
          <w:ilvl w:val="5"/>
          <w:numId w:val="2"/>
        </w:numPr>
      </w:pPr>
      <w:r>
        <w:rPr>
          <w:rStyle w:val="Hyperlink.0"/>
          <w:rtl w:val="0"/>
        </w:rPr>
        <w:t>Make modifications to mockup if requested by Architect including adjustments to installation angle or angles of panels.</w:t>
      </w:r>
    </w:p>
    <w:p>
      <w:pPr>
        <w:pStyle w:val="PR2"/>
        <w:numPr>
          <w:ilvl w:val="5"/>
          <w:numId w:val="2"/>
        </w:numPr>
      </w:pPr>
      <w:r>
        <w:rPr>
          <w:rStyle w:val="Hyperlink.0"/>
          <w:rtl w:val="0"/>
        </w:rPr>
        <w:t>Accepted mockup may remain as part of the work.</w:t>
      </w:r>
    </w:p>
    <w:p>
      <w:pPr>
        <w:pStyle w:val="PR2"/>
        <w:numPr>
          <w:ilvl w:val="5"/>
          <w:numId w:val="2"/>
        </w:numPr>
        <w:bidi w:val="0"/>
        <w:ind w:right="0"/>
        <w:jc w:val="both"/>
        <w:rPr>
          <w:b w:val="1"/>
          <w:bCs w:val="1"/>
          <w:rtl w:val="0"/>
          <w:lang w:val="en-US"/>
        </w:rPr>
      </w:pPr>
      <w:r>
        <w:rPr>
          <w:rStyle w:val="None"/>
          <w:b w:val="0"/>
          <w:bCs w:val="0"/>
          <w:rtl w:val="0"/>
          <w:lang w:val="en-US"/>
        </w:rPr>
        <w:t>[</w:t>
      </w:r>
      <w:r>
        <w:rPr>
          <w:rStyle w:val="Hyperlink.0"/>
          <w:b w:val="1"/>
          <w:bCs w:val="1"/>
          <w:rtl w:val="0"/>
          <w:lang w:val="en-US"/>
        </w:rPr>
        <w:t>Comply with additional requirements of Section 01</w:t>
      </w:r>
      <w:r>
        <w:rPr>
          <w:rStyle w:val="Hyperlink.0"/>
          <w:b w:val="1"/>
          <w:bCs w:val="1"/>
          <w:rtl w:val="0"/>
          <w:lang w:val="en-US"/>
        </w:rPr>
        <w:t> </w:t>
      </w:r>
      <w:r>
        <w:rPr>
          <w:rStyle w:val="Hyperlink.0"/>
          <w:b w:val="1"/>
          <w:bCs w:val="1"/>
          <w:rtl w:val="0"/>
          <w:lang w:val="en-US"/>
        </w:rPr>
        <w:t xml:space="preserve">4339, </w:t>
      </w:r>
      <w:r>
        <w:rPr>
          <w:rStyle w:val="Hyperlink.0"/>
          <w:b w:val="1"/>
          <w:bCs w:val="1"/>
          <w:rtl w:val="0"/>
          <w:lang w:val="en-US"/>
        </w:rPr>
        <w:t>“</w:t>
      </w:r>
      <w:r>
        <w:rPr>
          <w:rStyle w:val="Hyperlink.0"/>
          <w:b w:val="1"/>
          <w:bCs w:val="1"/>
          <w:rtl w:val="0"/>
          <w:lang w:val="en-US"/>
        </w:rPr>
        <w:t>Mockups.</w:t>
      </w:r>
      <w:r>
        <w:rPr>
          <w:rStyle w:val="Hyperlink.0"/>
          <w:b w:val="1"/>
          <w:bCs w:val="1"/>
          <w:rtl w:val="0"/>
          <w:lang w:val="en-US"/>
        </w:rPr>
        <w:t>”</w:t>
      </w:r>
      <w:r>
        <w:rPr>
          <w:rStyle w:val="None"/>
          <w:b w:val="0"/>
          <w:bCs w:val="0"/>
          <w:rtl w:val="0"/>
          <w:lang w:val="en-US"/>
        </w:rPr>
        <w:t>]</w:t>
      </w:r>
    </w:p>
    <w:p>
      <w:pPr>
        <w:pStyle w:val="ART"/>
        <w:numPr>
          <w:ilvl w:val="3"/>
          <w:numId w:val="2"/>
        </w:numPr>
      </w:pPr>
      <w:r>
        <w:rPr>
          <w:rStyle w:val="Hyperlink.0"/>
          <w:rtl w:val="0"/>
        </w:rPr>
        <w:t>DELIVERY, STORAGE, AND HANDLING</w:t>
      </w:r>
    </w:p>
    <w:p>
      <w:pPr>
        <w:pStyle w:val="PR1"/>
        <w:numPr>
          <w:ilvl w:val="4"/>
          <w:numId w:val="2"/>
        </w:numPr>
      </w:pPr>
      <w:r>
        <w:rPr>
          <w:rStyle w:val="Hyperlink.0"/>
          <w:rtl w:val="0"/>
        </w:rPr>
        <w:t>Do not deliver wood panels until specified ambient conditions are met.</w:t>
      </w:r>
    </w:p>
    <w:p>
      <w:pPr>
        <w:pStyle w:val="PR1"/>
        <w:numPr>
          <w:ilvl w:val="4"/>
          <w:numId w:val="2"/>
        </w:numPr>
      </w:pPr>
      <w:r>
        <w:rPr>
          <w:rStyle w:val="Hyperlink.0"/>
          <w:rtl w:val="0"/>
        </w:rPr>
        <w:t>Store wood panels in conditioned space and keep dry.</w:t>
      </w:r>
    </w:p>
    <w:p>
      <w:pPr>
        <w:pStyle w:val="PR1"/>
        <w:numPr>
          <w:ilvl w:val="4"/>
          <w:numId w:val="2"/>
        </w:numPr>
      </w:pPr>
      <w:r>
        <w:rPr>
          <w:rStyle w:val="Hyperlink.0"/>
          <w:rtl w:val="0"/>
        </w:rPr>
        <w:t>Conditioning:  Move wood panels into pre-conditioned spaces where they will be installed to allow the moisture content of wood to achieve equilibrium with its environment.</w:t>
      </w:r>
    </w:p>
    <w:p>
      <w:pPr>
        <w:pStyle w:val="PR2"/>
        <w:numPr>
          <w:ilvl w:val="5"/>
          <w:numId w:val="2"/>
        </w:numPr>
      </w:pPr>
      <w:r>
        <w:rPr>
          <w:rStyle w:val="Hyperlink.0"/>
          <w:rtl w:val="0"/>
        </w:rPr>
        <w:t>Remove panels from sealed packages to facilitate acclimation.</w:t>
      </w:r>
    </w:p>
    <w:p>
      <w:pPr>
        <w:pStyle w:val="PR2"/>
        <w:numPr>
          <w:ilvl w:val="5"/>
          <w:numId w:val="2"/>
        </w:numPr>
      </w:pPr>
      <w:r>
        <w:rPr>
          <w:rStyle w:val="Hyperlink.0"/>
          <w:rtl w:val="0"/>
        </w:rPr>
        <w:t>Contractor shall allow not less than 72 hours to allow wood panels to acclimate at site.</w:t>
      </w:r>
    </w:p>
    <w:p>
      <w:pPr>
        <w:pStyle w:val="ART"/>
        <w:numPr>
          <w:ilvl w:val="3"/>
          <w:numId w:val="2"/>
        </w:numPr>
      </w:pPr>
      <w:r>
        <w:rPr>
          <w:rStyle w:val="Hyperlink.0"/>
          <w:rtl w:val="0"/>
        </w:rPr>
        <w:t>field CONDITIONS</w:t>
      </w:r>
    </w:p>
    <w:p>
      <w:pPr>
        <w:pStyle w:val="PR1"/>
        <w:numPr>
          <w:ilvl w:val="4"/>
          <w:numId w:val="2"/>
        </w:numPr>
      </w:pPr>
      <w:r>
        <w:rPr>
          <w:rStyle w:val="Hyperlink.0"/>
          <w:rtl w:val="0"/>
        </w:rPr>
        <w:t>Ambient Conditions:  Do not proceed with installation until dust-generating activities have been terminated and building temperature and humidity conditions approximate conditions that will exist when the Building is occupied.  All wet work, including painting, shall be completed and dry before installation.</w:t>
      </w:r>
    </w:p>
    <w:p>
      <w:pPr>
        <w:pStyle w:val="PR1"/>
        <w:numPr>
          <w:ilvl w:val="4"/>
          <w:numId w:val="2"/>
        </w:numPr>
      </w:pPr>
      <w:r>
        <w:rPr>
          <w:rStyle w:val="Hyperlink.0"/>
          <w:rtl w:val="0"/>
        </w:rPr>
        <w:t>Do not install wood panels until work above or behind them is completed, including testing and approval of mechanical work.</w:t>
      </w:r>
    </w:p>
    <w:p>
      <w:pPr>
        <w:pStyle w:val="PRT"/>
        <w:numPr>
          <w:ilvl w:val="0"/>
          <w:numId w:val="2"/>
        </w:numPr>
      </w:pPr>
      <w:r>
        <w:rPr>
          <w:rStyle w:val="Hyperlink.0"/>
          <w:rtl w:val="0"/>
        </w:rPr>
        <w:t>PRODUCTS</w:t>
      </w:r>
    </w:p>
    <w:p>
      <w:pPr>
        <w:pStyle w:val="ART"/>
        <w:numPr>
          <w:ilvl w:val="3"/>
          <w:numId w:val="2"/>
        </w:numPr>
      </w:pPr>
      <w:r>
        <w:rPr>
          <w:rStyle w:val="Hyperlink.0"/>
          <w:rtl w:val="0"/>
        </w:rPr>
        <w:t>MANUFACTURER</w:t>
      </w:r>
    </w:p>
    <w:p>
      <w:pPr>
        <w:pStyle w:val="PR1"/>
        <w:numPr>
          <w:ilvl w:val="4"/>
          <w:numId w:val="2"/>
        </w:numPr>
      </w:pPr>
      <w:r>
        <w:rPr>
          <w:rStyle w:val="Hyperlink.0"/>
          <w:rtl w:val="0"/>
        </w:rPr>
        <w:t>Acceptable Manufacturer:  Madrid Inc.</w:t>
      </w:r>
    </w:p>
    <w:p>
      <w:pPr>
        <w:pStyle w:val="PR2"/>
        <w:numPr>
          <w:ilvl w:val="5"/>
          <w:numId w:val="2"/>
        </w:numPr>
      </w:pPr>
      <w:r>
        <w:rPr>
          <w:rStyle w:val="Hyperlink.0"/>
          <w:rtl w:val="0"/>
        </w:rPr>
        <w:t>Address:  7800 Industry Ave., Pico Riviera, CA 90660</w:t>
      </w:r>
    </w:p>
    <w:p>
      <w:pPr>
        <w:pStyle w:val="PR2"/>
        <w:numPr>
          <w:ilvl w:val="5"/>
          <w:numId w:val="2"/>
        </w:numPr>
      </w:pPr>
      <w:r>
        <w:rPr>
          <w:rStyle w:val="Hyperlink.0"/>
          <w:rtl w:val="0"/>
        </w:rPr>
        <w:t>Phone:  562-942-0707</w:t>
      </w:r>
    </w:p>
    <w:p>
      <w:pPr>
        <w:pStyle w:val="PR2"/>
        <w:numPr>
          <w:ilvl w:val="5"/>
          <w:numId w:val="2"/>
        </w:numPr>
        <w:bidi w:val="0"/>
        <w:ind w:right="0"/>
        <w:jc w:val="both"/>
        <w:rPr>
          <w:rtl w:val="0"/>
          <w:lang w:val="en-US"/>
        </w:rPr>
      </w:pPr>
      <w:r>
        <w:rPr>
          <w:rStyle w:val="Hyperlink.0"/>
          <w:rtl w:val="0"/>
          <w:lang w:val="en-US"/>
        </w:rPr>
        <w:t xml:space="preserve">Email  </w:t>
      </w:r>
      <w:r>
        <w:rPr>
          <w:rStyle w:val="Hyperlink.1"/>
        </w:rPr>
        <w:fldChar w:fldCharType="begin" w:fldLock="0"/>
      </w:r>
      <w:r>
        <w:rPr>
          <w:rStyle w:val="Hyperlink.1"/>
        </w:rPr>
        <w:instrText xml:space="preserve"> HYPERLINK "mailto:sales@madridinc.com"</w:instrText>
      </w:r>
      <w:r>
        <w:rPr>
          <w:rStyle w:val="Hyperlink.1"/>
        </w:rPr>
        <w:fldChar w:fldCharType="separate" w:fldLock="0"/>
      </w:r>
      <w:r>
        <w:rPr>
          <w:rStyle w:val="Hyperlink.1"/>
          <w:rtl w:val="0"/>
          <w:lang w:val="en-US"/>
        </w:rPr>
        <w:t>sales@madridinc.com</w:t>
      </w:r>
      <w:r>
        <w:rPr/>
        <w:fldChar w:fldCharType="end" w:fldLock="0"/>
      </w:r>
    </w:p>
    <w:p>
      <w:pPr>
        <w:pStyle w:val="PR2"/>
        <w:numPr>
          <w:ilvl w:val="5"/>
          <w:numId w:val="2"/>
        </w:numPr>
      </w:pPr>
      <w:r>
        <w:rPr>
          <w:rStyle w:val="Hyperlink.0"/>
          <w:rtl w:val="0"/>
        </w:rPr>
        <w:t xml:space="preserve">Web:  </w:t>
      </w:r>
      <w:r>
        <w:rPr>
          <w:rStyle w:val="Hyperlink.1"/>
        </w:rPr>
        <w:fldChar w:fldCharType="begin" w:fldLock="0"/>
      </w:r>
      <w:r>
        <w:rPr>
          <w:rStyle w:val="Hyperlink.1"/>
        </w:rPr>
        <w:instrText xml:space="preserve"> HYPERLINK "http://madridinc.com/"</w:instrText>
      </w:r>
      <w:r>
        <w:rPr>
          <w:rStyle w:val="Hyperlink.1"/>
        </w:rPr>
        <w:fldChar w:fldCharType="separate" w:fldLock="0"/>
      </w:r>
      <w:r>
        <w:rPr>
          <w:rStyle w:val="Hyperlink.1"/>
          <w:rtl w:val="0"/>
        </w:rPr>
        <w:t>madridinc.com</w:t>
      </w:r>
      <w:r>
        <w:rPr/>
        <w:fldChar w:fldCharType="end" w:fldLock="0"/>
      </w:r>
    </w:p>
    <w:p>
      <w:pPr>
        <w:pStyle w:val="PR1"/>
        <w:numPr>
          <w:ilvl w:val="4"/>
          <w:numId w:val="2"/>
        </w:numPr>
      </w:pPr>
      <w:r>
        <w:rPr>
          <w:rStyle w:val="Hyperlink.0"/>
          <w:rtl w:val="0"/>
        </w:rPr>
        <w:t>Substitutions:  [Not permitted.] [Substitutions will be considered according to requirements specified in Section 01</w:t>
      </w:r>
      <w:r>
        <w:rPr>
          <w:rStyle w:val="Hyperlink.0"/>
          <w:rtl w:val="0"/>
        </w:rPr>
        <w:t> </w:t>
      </w:r>
      <w:r>
        <w:rPr>
          <w:rStyle w:val="Hyperlink.0"/>
          <w:rtl w:val="0"/>
        </w:rPr>
        <w:t>25</w:t>
      </w:r>
      <w:r>
        <w:rPr>
          <w:rStyle w:val="Hyperlink.0"/>
          <w:rtl w:val="0"/>
        </w:rPr>
        <w:t> </w:t>
      </w:r>
      <w:r>
        <w:rPr>
          <w:rStyle w:val="Hyperlink.0"/>
          <w:rtl w:val="0"/>
        </w:rPr>
        <w:t xml:space="preserve">00 </w:t>
      </w:r>
      <w:r>
        <w:rPr>
          <w:rStyle w:val="Hyperlink.0"/>
          <w:rtl w:val="0"/>
        </w:rPr>
        <w:t>“</w:t>
      </w:r>
      <w:r>
        <w:rPr>
          <w:rStyle w:val="Hyperlink.0"/>
          <w:rtl w:val="0"/>
        </w:rPr>
        <w:t>Substitution Procedures.</w:t>
      </w:r>
      <w:r>
        <w:rPr>
          <w:rStyle w:val="Hyperlink.0"/>
          <w:rtl w:val="0"/>
        </w:rPr>
        <w:t>”</w:t>
      </w:r>
      <w:r>
        <w:rPr>
          <w:rStyle w:val="Hyperlink.0"/>
          <w:rtl w:val="0"/>
        </w:rPr>
        <w:t>]</w:t>
      </w:r>
    </w:p>
    <w:p>
      <w:pPr>
        <w:pStyle w:val="ART"/>
        <w:numPr>
          <w:ilvl w:val="3"/>
          <w:numId w:val="2"/>
        </w:numPr>
      </w:pPr>
      <w:r>
        <w:rPr>
          <w:rStyle w:val="Hyperlink.0"/>
          <w:rtl w:val="0"/>
        </w:rPr>
        <w:t>design and pERFORMANCE criteria</w:t>
      </w:r>
    </w:p>
    <w:p>
      <w:pPr>
        <w:pStyle w:val="PR1"/>
        <w:numPr>
          <w:ilvl w:val="4"/>
          <w:numId w:val="2"/>
        </w:numPr>
      </w:pPr>
      <w:r>
        <w:rPr>
          <w:rStyle w:val="Hyperlink.0"/>
          <w:rtl w:val="0"/>
        </w:rPr>
        <w:t>Seismic Requirements:  Provide compression struts, bracing, and other suspension system components to meet requirements of the governing Code.</w:t>
      </w:r>
    </w:p>
    <w:p>
      <w:pPr>
        <w:pStyle w:val="PR1"/>
        <w:numPr>
          <w:ilvl w:val="4"/>
          <w:numId w:val="2"/>
        </w:numPr>
      </w:pPr>
      <w:r>
        <w:rPr>
          <w:rStyle w:val="Hyperlink.0"/>
          <w:rtl w:val="0"/>
        </w:rPr>
        <w:t>Ceiling suspension system shall not be visible from eye level of a person standing on the floor.  Orient suspension and bracing away from visible edges.</w:t>
      </w:r>
    </w:p>
    <w:p>
      <w:pPr>
        <w:pStyle w:val="PR1"/>
        <w:numPr>
          <w:ilvl w:val="4"/>
          <w:numId w:val="2"/>
        </w:numPr>
      </w:pPr>
      <w:r>
        <w:rPr>
          <w:rStyle w:val="Hyperlink.0"/>
          <w:rtl w:val="0"/>
        </w:rPr>
        <w:t xml:space="preserve"> [Sustainable Design:</w:t>
      </w:r>
    </w:p>
    <w:p>
      <w:pPr>
        <w:pStyle w:val="PR2"/>
        <w:numPr>
          <w:ilvl w:val="5"/>
          <w:numId w:val="2"/>
        </w:numPr>
        <w:bidi w:val="0"/>
        <w:ind w:right="0"/>
        <w:jc w:val="both"/>
        <w:rPr>
          <w:b w:val="1"/>
          <w:bCs w:val="1"/>
          <w:rtl w:val="0"/>
          <w:lang w:val="en-US"/>
        </w:rPr>
      </w:pPr>
      <w:r>
        <w:rPr>
          <w:rStyle w:val="Hyperlink.0"/>
          <w:b w:val="1"/>
          <w:bCs w:val="1"/>
          <w:rtl w:val="0"/>
          <w:lang w:val="en-US"/>
        </w:rPr>
        <w:t>Refer to Section 01</w:t>
      </w:r>
      <w:r>
        <w:rPr>
          <w:rStyle w:val="Hyperlink.0"/>
          <w:b w:val="1"/>
          <w:bCs w:val="1"/>
          <w:rtl w:val="0"/>
          <w:lang w:val="en-US"/>
        </w:rPr>
        <w:t> </w:t>
      </w:r>
      <w:r>
        <w:rPr>
          <w:rStyle w:val="Hyperlink.0"/>
          <w:b w:val="1"/>
          <w:bCs w:val="1"/>
          <w:rtl w:val="0"/>
          <w:lang w:val="en-US"/>
        </w:rPr>
        <w:t>81</w:t>
      </w:r>
      <w:r>
        <w:rPr>
          <w:rStyle w:val="Hyperlink.0"/>
          <w:b w:val="1"/>
          <w:bCs w:val="1"/>
          <w:rtl w:val="0"/>
          <w:lang w:val="en-US"/>
        </w:rPr>
        <w:t> </w:t>
      </w:r>
      <w:r>
        <w:rPr>
          <w:rStyle w:val="Hyperlink.0"/>
          <w:b w:val="1"/>
          <w:bCs w:val="1"/>
          <w:rtl w:val="0"/>
          <w:lang w:val="en-US"/>
        </w:rPr>
        <w:t xml:space="preserve">13 </w:t>
      </w:r>
      <w:r>
        <w:rPr>
          <w:rStyle w:val="Hyperlink.0"/>
          <w:b w:val="1"/>
          <w:bCs w:val="1"/>
          <w:rtl w:val="0"/>
          <w:lang w:val="en-US"/>
        </w:rPr>
        <w:t>“</w:t>
      </w:r>
      <w:r>
        <w:rPr>
          <w:rStyle w:val="Hyperlink.0"/>
          <w:b w:val="1"/>
          <w:bCs w:val="1"/>
          <w:rtl w:val="0"/>
          <w:lang w:val="en-US"/>
        </w:rPr>
        <w:t>Sustainable Design Requirements</w:t>
      </w:r>
      <w:r>
        <w:rPr>
          <w:rStyle w:val="Hyperlink.0"/>
          <w:b w:val="1"/>
          <w:bCs w:val="1"/>
          <w:rtl w:val="0"/>
          <w:lang w:val="en-US"/>
        </w:rPr>
        <w:t xml:space="preserve">” </w:t>
      </w:r>
      <w:r>
        <w:rPr>
          <w:rStyle w:val="Hyperlink.0"/>
          <w:b w:val="1"/>
          <w:bCs w:val="1"/>
          <w:rtl w:val="0"/>
          <w:lang w:val="en-US"/>
        </w:rPr>
        <w:t>for additional information.</w:t>
      </w:r>
      <w:r>
        <w:rPr>
          <w:rStyle w:val="None"/>
          <w:b w:val="0"/>
          <w:bCs w:val="0"/>
          <w:rtl w:val="0"/>
          <w:lang w:val="en-US"/>
        </w:rPr>
        <w:t>]</w:t>
      </w:r>
    </w:p>
    <w:p>
      <w:pPr>
        <w:pStyle w:val="ART"/>
        <w:numPr>
          <w:ilvl w:val="3"/>
          <w:numId w:val="2"/>
        </w:numPr>
      </w:pPr>
      <w:r>
        <w:rPr>
          <w:rStyle w:val="Hyperlink.0"/>
          <w:rtl w:val="0"/>
        </w:rPr>
        <w:t>Sound Absorbing Wood ceiling Panels</w:t>
      </w:r>
    </w:p>
    <w:p>
      <w:pPr>
        <w:pStyle w:val="PR1"/>
        <w:numPr>
          <w:ilvl w:val="4"/>
          <w:numId w:val="2"/>
        </w:numPr>
      </w:pPr>
      <w:r>
        <w:rPr>
          <w:rStyle w:val="Hyperlink.0"/>
          <w:rtl w:val="0"/>
        </w:rPr>
        <w:t>Panels:</w:t>
      </w:r>
    </w:p>
    <w:p>
      <w:pPr>
        <w:pStyle w:val="PR2"/>
        <w:numPr>
          <w:ilvl w:val="5"/>
          <w:numId w:val="2"/>
        </w:numPr>
      </w:pPr>
      <w:r>
        <w:rPr>
          <w:rStyle w:val="Hyperlink.0"/>
          <w:rtl w:val="0"/>
        </w:rPr>
        <w:t>Weight:  Approximately 1.6 pounds per square foot.</w:t>
      </w:r>
    </w:p>
    <w:p>
      <w:pPr>
        <w:pStyle w:val="PR2"/>
        <w:numPr>
          <w:ilvl w:val="5"/>
          <w:numId w:val="2"/>
        </w:numPr>
      </w:pPr>
      <w:r>
        <w:rPr>
          <w:rStyle w:val="Hyperlink.0"/>
          <w:rtl w:val="0"/>
        </w:rPr>
        <w:t>NRC:  0.75 to 0.85.</w:t>
      </w:r>
    </w:p>
    <w:p>
      <w:pPr>
        <w:pStyle w:val="PR2"/>
        <w:numPr>
          <w:ilvl w:val="5"/>
          <w:numId w:val="2"/>
        </w:numPr>
      </w:pPr>
      <w:r>
        <w:rPr>
          <w:rStyle w:val="Hyperlink.0"/>
          <w:rtl w:val="0"/>
        </w:rPr>
        <w:t>Fire Rating:  Class A.</w:t>
      </w:r>
    </w:p>
    <w:p>
      <w:pPr>
        <w:pStyle w:val="PR2"/>
        <w:numPr>
          <w:ilvl w:val="5"/>
          <w:numId w:val="2"/>
        </w:numPr>
      </w:pPr>
      <w:r>
        <w:rPr>
          <w:rStyle w:val="Hyperlink.0"/>
          <w:rtl w:val="0"/>
        </w:rPr>
        <w:t>Indoor Air Requirements:  No VOC</w:t>
      </w:r>
      <w:r>
        <w:rPr>
          <w:rStyle w:val="Hyperlink.0"/>
          <w:rtl w:val="0"/>
        </w:rPr>
        <w:t>’</w:t>
      </w:r>
      <w:r>
        <w:rPr>
          <w:rStyle w:val="Hyperlink.0"/>
          <w:rtl w:val="0"/>
        </w:rPr>
        <w:t>s.  No added urea formaldehyde.</w:t>
      </w:r>
    </w:p>
    <w:p>
      <w:pPr>
        <w:pStyle w:val="PR1"/>
        <w:numPr>
          <w:ilvl w:val="4"/>
          <w:numId w:val="2"/>
        </w:numPr>
      </w:pPr>
      <w:r>
        <w:rPr>
          <w:rStyle w:val="Hyperlink.0"/>
          <w:rtl w:val="0"/>
        </w:rPr>
        <w:t>Standard Panel Sizes:</w:t>
      </w:r>
    </w:p>
    <w:p>
      <w:pPr>
        <w:pStyle w:val="PR2"/>
        <w:numPr>
          <w:ilvl w:val="5"/>
          <w:numId w:val="2"/>
        </w:numPr>
        <w:bidi w:val="0"/>
        <w:ind w:right="0"/>
        <w:jc w:val="both"/>
        <w:rPr>
          <w:b w:val="1"/>
          <w:bCs w:val="1"/>
          <w:rtl w:val="0"/>
          <w:lang w:val="en-US"/>
        </w:rPr>
      </w:pPr>
      <w:r>
        <w:rPr>
          <w:rStyle w:val="Hyperlink.0"/>
          <w:b w:val="1"/>
          <w:bCs w:val="1"/>
          <w:rtl w:val="0"/>
          <w:lang w:val="en-US"/>
        </w:rPr>
        <w:t>[2 foot x 2 foot x 3/4 inch core].</w:t>
      </w:r>
    </w:p>
    <w:p>
      <w:pPr>
        <w:pStyle w:val="PR2"/>
        <w:numPr>
          <w:ilvl w:val="5"/>
          <w:numId w:val="2"/>
        </w:numPr>
        <w:bidi w:val="0"/>
        <w:ind w:right="0"/>
        <w:jc w:val="both"/>
        <w:rPr>
          <w:b w:val="1"/>
          <w:bCs w:val="1"/>
          <w:rtl w:val="0"/>
          <w:lang w:val="en-US"/>
        </w:rPr>
      </w:pPr>
      <w:r>
        <w:rPr>
          <w:rStyle w:val="Hyperlink.0"/>
          <w:b w:val="1"/>
          <w:bCs w:val="1"/>
          <w:rtl w:val="0"/>
          <w:lang w:val="en-US"/>
        </w:rPr>
        <w:t>[2 foot x 4 foot x 3/4 inch core].</w:t>
      </w:r>
    </w:p>
    <w:p>
      <w:pPr>
        <w:pStyle w:val="PR2"/>
        <w:numPr>
          <w:ilvl w:val="5"/>
          <w:numId w:val="2"/>
        </w:numPr>
        <w:bidi w:val="0"/>
        <w:ind w:right="0"/>
        <w:jc w:val="both"/>
        <w:rPr>
          <w:b w:val="1"/>
          <w:bCs w:val="1"/>
          <w:rtl w:val="0"/>
          <w:lang w:val="en-US"/>
        </w:rPr>
      </w:pPr>
      <w:r>
        <w:rPr>
          <w:rStyle w:val="Hyperlink.0"/>
          <w:b w:val="1"/>
          <w:bCs w:val="1"/>
          <w:rtl w:val="0"/>
          <w:lang w:val="en-US"/>
        </w:rPr>
        <w:t>[4 foot x 4 foot x 3/4 inch core].</w:t>
      </w:r>
    </w:p>
    <w:p>
      <w:pPr>
        <w:pStyle w:val="PR2"/>
        <w:numPr>
          <w:ilvl w:val="5"/>
          <w:numId w:val="2"/>
        </w:numPr>
        <w:bidi w:val="0"/>
        <w:ind w:right="0"/>
        <w:jc w:val="both"/>
        <w:rPr>
          <w:b w:val="1"/>
          <w:bCs w:val="1"/>
          <w:rtl w:val="0"/>
          <w:lang w:val="en-US"/>
        </w:rPr>
      </w:pPr>
      <w:r>
        <w:rPr>
          <w:rStyle w:val="Hyperlink.0"/>
          <w:b w:val="1"/>
          <w:bCs w:val="1"/>
          <w:rtl w:val="0"/>
          <w:lang w:val="en-US"/>
        </w:rPr>
        <w:t>[Custom].</w:t>
      </w:r>
    </w:p>
    <w:p>
      <w:pPr>
        <w:pStyle w:val="PR1"/>
        <w:numPr>
          <w:ilvl w:val="4"/>
          <w:numId w:val="2"/>
        </w:numPr>
      </w:pPr>
      <w:r>
        <w:rPr>
          <w:rStyle w:val="Hyperlink.0"/>
          <w:rtl w:val="0"/>
        </w:rPr>
        <w:t>Core:  Lightweight honeycomb made from post-consumer recycled cellulose; 3/4 inch thick.</w:t>
      </w:r>
    </w:p>
    <w:p>
      <w:pPr>
        <w:pStyle w:val="PR1"/>
        <w:numPr>
          <w:ilvl w:val="4"/>
          <w:numId w:val="2"/>
        </w:numPr>
      </w:pPr>
      <w:r>
        <w:rPr>
          <w:rStyle w:val="Hyperlink.0"/>
          <w:rtl w:val="0"/>
        </w:rPr>
        <w:t>Wood Veneer:</w:t>
      </w:r>
    </w:p>
    <w:p>
      <w:pPr>
        <w:pStyle w:val="PR2"/>
        <w:numPr>
          <w:ilvl w:val="5"/>
          <w:numId w:val="2"/>
        </w:numPr>
      </w:pPr>
      <w:r>
        <w:rPr>
          <w:rStyle w:val="Hyperlink.0"/>
          <w:rtl w:val="0"/>
        </w:rPr>
        <w:t>Core:  Lightweight honeycomb made from post-consumer recycled cellulose with black acoustical fleece; 3/4 inch thick.</w:t>
      </w:r>
    </w:p>
    <w:p>
      <w:pPr>
        <w:pStyle w:val="PR3"/>
        <w:numPr>
          <w:ilvl w:val="6"/>
          <w:numId w:val="2"/>
        </w:numPr>
      </w:pPr>
      <w:r>
        <w:rPr>
          <w:rStyle w:val="Hyperlink.0"/>
          <w:rtl w:val="0"/>
        </w:rPr>
        <w:t>Indoor Air Quality:  No VOC.  No added urea formaldehyde.</w:t>
      </w:r>
    </w:p>
    <w:p>
      <w:pPr>
        <w:pStyle w:val="PR3"/>
        <w:numPr>
          <w:ilvl w:val="6"/>
          <w:numId w:val="2"/>
        </w:numPr>
      </w:pPr>
      <w:r>
        <w:rPr>
          <w:rStyle w:val="Hyperlink.0"/>
          <w:rtl w:val="0"/>
        </w:rPr>
        <w:t>Face Veneer:</w:t>
      </w:r>
    </w:p>
    <w:p>
      <w:pPr>
        <w:pStyle w:val="PR4"/>
        <w:numPr>
          <w:ilvl w:val="7"/>
          <w:numId w:val="2"/>
        </w:numPr>
        <w:bidi w:val="0"/>
        <w:ind w:right="0"/>
        <w:jc w:val="both"/>
        <w:rPr>
          <w:b w:val="1"/>
          <w:bCs w:val="1"/>
          <w:rtl w:val="0"/>
          <w:lang w:val="en-US"/>
        </w:rPr>
      </w:pPr>
      <w:r>
        <w:rPr>
          <w:rStyle w:val="Hyperlink.0"/>
          <w:b w:val="1"/>
          <w:bCs w:val="1"/>
          <w:rtl w:val="0"/>
          <w:lang w:val="en-US"/>
        </w:rPr>
        <w:t>[American Walnut].</w:t>
      </w:r>
    </w:p>
    <w:p>
      <w:pPr>
        <w:pStyle w:val="PR4"/>
        <w:numPr>
          <w:ilvl w:val="7"/>
          <w:numId w:val="2"/>
        </w:numPr>
        <w:bidi w:val="0"/>
        <w:ind w:right="0"/>
        <w:jc w:val="both"/>
        <w:rPr>
          <w:b w:val="1"/>
          <w:bCs w:val="1"/>
          <w:rtl w:val="0"/>
          <w:lang w:val="en-US"/>
        </w:rPr>
      </w:pPr>
      <w:r>
        <w:rPr>
          <w:rStyle w:val="Hyperlink.0"/>
          <w:b w:val="1"/>
          <w:bCs w:val="1"/>
          <w:rtl w:val="0"/>
          <w:lang w:val="en-US"/>
        </w:rPr>
        <w:t>[American Maple].</w:t>
      </w:r>
    </w:p>
    <w:p>
      <w:pPr>
        <w:pStyle w:val="PR4"/>
        <w:numPr>
          <w:ilvl w:val="7"/>
          <w:numId w:val="2"/>
        </w:numPr>
        <w:bidi w:val="0"/>
        <w:ind w:right="0"/>
        <w:jc w:val="both"/>
        <w:rPr>
          <w:b w:val="1"/>
          <w:bCs w:val="1"/>
          <w:rtl w:val="0"/>
          <w:lang w:val="en-US"/>
        </w:rPr>
      </w:pPr>
      <w:r>
        <w:rPr>
          <w:rStyle w:val="Hyperlink.0"/>
          <w:b w:val="1"/>
          <w:bCs w:val="1"/>
          <w:rtl w:val="0"/>
          <w:lang w:val="en-US"/>
        </w:rPr>
        <w:t>[Cherry].</w:t>
      </w:r>
    </w:p>
    <w:p>
      <w:pPr>
        <w:pStyle w:val="PR4"/>
        <w:numPr>
          <w:ilvl w:val="7"/>
          <w:numId w:val="2"/>
        </w:numPr>
        <w:bidi w:val="0"/>
        <w:ind w:right="0"/>
        <w:jc w:val="both"/>
        <w:rPr>
          <w:b w:val="1"/>
          <w:bCs w:val="1"/>
          <w:rtl w:val="0"/>
          <w:lang w:val="en-US"/>
        </w:rPr>
      </w:pPr>
      <w:r>
        <w:rPr>
          <w:rStyle w:val="Hyperlink.0"/>
          <w:b w:val="1"/>
          <w:bCs w:val="1"/>
          <w:rtl w:val="0"/>
          <w:lang w:val="en-US"/>
        </w:rPr>
        <w:t>[White Oak].</w:t>
      </w:r>
    </w:p>
    <w:p>
      <w:pPr>
        <w:pStyle w:val="PR4"/>
        <w:numPr>
          <w:ilvl w:val="7"/>
          <w:numId w:val="2"/>
        </w:numPr>
        <w:bidi w:val="0"/>
        <w:ind w:right="0"/>
        <w:jc w:val="both"/>
        <w:rPr>
          <w:b w:val="1"/>
          <w:bCs w:val="1"/>
          <w:rtl w:val="0"/>
          <w:lang w:val="en-US"/>
        </w:rPr>
      </w:pPr>
      <w:r>
        <w:rPr>
          <w:rStyle w:val="Hyperlink.0"/>
          <w:b w:val="1"/>
          <w:bCs w:val="1"/>
          <w:rtl w:val="0"/>
          <w:lang w:val="en-US"/>
        </w:rPr>
        <w:t>[Red Oak].</w:t>
      </w:r>
    </w:p>
    <w:p>
      <w:pPr>
        <w:pStyle w:val="PR4"/>
        <w:numPr>
          <w:ilvl w:val="7"/>
          <w:numId w:val="2"/>
        </w:numPr>
        <w:bidi w:val="0"/>
        <w:ind w:right="0"/>
        <w:jc w:val="both"/>
        <w:rPr>
          <w:b w:val="1"/>
          <w:bCs w:val="1"/>
          <w:rtl w:val="0"/>
          <w:lang w:val="en-US"/>
        </w:rPr>
      </w:pPr>
      <w:r>
        <w:rPr>
          <w:rStyle w:val="Hyperlink.0"/>
          <w:b w:val="1"/>
          <w:bCs w:val="1"/>
          <w:rtl w:val="0"/>
          <w:lang w:val="en-US"/>
        </w:rPr>
        <w:t>[Birch].</w:t>
      </w:r>
    </w:p>
    <w:p>
      <w:pPr>
        <w:pStyle w:val="PR4"/>
        <w:numPr>
          <w:ilvl w:val="7"/>
          <w:numId w:val="2"/>
        </w:numPr>
        <w:bidi w:val="0"/>
        <w:ind w:right="0"/>
        <w:jc w:val="both"/>
        <w:rPr>
          <w:b w:val="1"/>
          <w:bCs w:val="1"/>
          <w:rtl w:val="0"/>
          <w:lang w:val="en-US"/>
        </w:rPr>
      </w:pPr>
      <w:r>
        <w:rPr>
          <w:rStyle w:val="Hyperlink.0"/>
          <w:b w:val="1"/>
          <w:bCs w:val="1"/>
          <w:rtl w:val="0"/>
          <w:lang w:val="en-US"/>
        </w:rPr>
        <w:t>[Pine].</w:t>
      </w:r>
    </w:p>
    <w:p>
      <w:pPr>
        <w:pStyle w:val="PR4"/>
        <w:numPr>
          <w:ilvl w:val="7"/>
          <w:numId w:val="2"/>
        </w:numPr>
        <w:bidi w:val="0"/>
        <w:ind w:right="0"/>
        <w:jc w:val="both"/>
        <w:rPr>
          <w:b w:val="1"/>
          <w:bCs w:val="1"/>
          <w:rtl w:val="0"/>
          <w:lang w:val="en-US"/>
        </w:rPr>
      </w:pPr>
      <w:r>
        <w:rPr>
          <w:rStyle w:val="Hyperlink.0"/>
          <w:b w:val="1"/>
          <w:bCs w:val="1"/>
          <w:rtl w:val="0"/>
          <w:lang w:val="en-US"/>
        </w:rPr>
        <w:t>[Custom].</w:t>
      </w:r>
    </w:p>
    <w:p>
      <w:pPr>
        <w:pStyle w:val="PR4"/>
        <w:numPr>
          <w:ilvl w:val="7"/>
          <w:numId w:val="2"/>
        </w:numPr>
      </w:pPr>
      <w:r>
        <w:rPr>
          <w:rStyle w:val="Hyperlink.0"/>
          <w:rtl w:val="0"/>
        </w:rPr>
        <w:t xml:space="preserve">Cut:  </w:t>
      </w:r>
      <w:r>
        <w:rPr>
          <w:rStyle w:val="None"/>
          <w:sz w:val="20"/>
          <w:szCs w:val="20"/>
          <w:rtl w:val="0"/>
          <w:lang w:val="en-US"/>
        </w:rPr>
        <w:t>Plain Sliced, Quartered Sawn, Rotary</w:t>
      </w:r>
      <w:r>
        <w:rPr>
          <w:rStyle w:val="Hyperlink.0"/>
          <w:rtl w:val="0"/>
        </w:rPr>
        <w:t>.</w:t>
      </w:r>
    </w:p>
    <w:p>
      <w:pPr>
        <w:pStyle w:val="PR4"/>
        <w:numPr>
          <w:ilvl w:val="7"/>
          <w:numId w:val="2"/>
        </w:numPr>
      </w:pPr>
      <w:r>
        <w:rPr>
          <w:rStyle w:val="Hyperlink.0"/>
          <w:rtl w:val="0"/>
        </w:rPr>
        <w:t xml:space="preserve"> [Wood veneer shall be FSC</w:t>
      </w:r>
      <w:r>
        <w:rPr>
          <w:rStyle w:val="None"/>
          <w:vertAlign w:val="superscript"/>
          <w:rtl w:val="0"/>
          <w:lang w:val="en-US"/>
        </w:rPr>
        <w:t>®</w:t>
      </w:r>
      <w:r>
        <w:rPr>
          <w:rStyle w:val="Hyperlink.0"/>
          <w:rtl w:val="0"/>
        </w:rPr>
        <w:t xml:space="preserve"> Certified.]</w:t>
      </w:r>
    </w:p>
    <w:p>
      <w:pPr>
        <w:pStyle w:val="PR3"/>
        <w:numPr>
          <w:ilvl w:val="6"/>
          <w:numId w:val="2"/>
        </w:numPr>
      </w:pPr>
      <w:r>
        <w:rPr>
          <w:rStyle w:val="Hyperlink.0"/>
          <w:rtl w:val="0"/>
        </w:rPr>
        <w:t xml:space="preserve">Perforations:  </w:t>
      </w:r>
      <w:r>
        <w:rPr>
          <w:rStyle w:val="None"/>
          <w:b w:val="1"/>
          <w:bCs w:val="1"/>
          <w:rtl w:val="0"/>
          <w:lang w:val="en-US"/>
        </w:rPr>
        <w:t>[0.50 mm] [0.75 mm] [1.0 mm]</w:t>
      </w:r>
      <w:r>
        <w:rPr>
          <w:rStyle w:val="Hyperlink.0"/>
          <w:rtl w:val="0"/>
        </w:rPr>
        <w:t>, both sides.</w:t>
      </w:r>
    </w:p>
    <w:p>
      <w:pPr>
        <w:pStyle w:val="PR4"/>
        <w:numPr>
          <w:ilvl w:val="7"/>
          <w:numId w:val="2"/>
        </w:numPr>
      </w:pPr>
      <w:r>
        <w:rPr>
          <w:rStyle w:val="Hyperlink.0"/>
          <w:rtl w:val="0"/>
        </w:rPr>
        <w:t>Non-perforated panels available for perimeter (not recommended).</w:t>
      </w:r>
    </w:p>
    <w:p>
      <w:pPr>
        <w:pStyle w:val="PR4"/>
        <w:numPr>
          <w:ilvl w:val="7"/>
          <w:numId w:val="2"/>
        </w:numPr>
      </w:pPr>
      <w:r>
        <w:rPr>
          <w:rStyle w:val="Hyperlink.0"/>
          <w:rtl w:val="0"/>
        </w:rPr>
        <w:t>MDF reinforced panels available for areas where cut-outs are needed</w:t>
      </w:r>
    </w:p>
    <w:p>
      <w:pPr>
        <w:pStyle w:val="PR1"/>
        <w:numPr>
          <w:ilvl w:val="4"/>
          <w:numId w:val="2"/>
        </w:numPr>
      </w:pPr>
      <w:r>
        <w:rPr>
          <w:rStyle w:val="Hyperlink.0"/>
          <w:rtl w:val="0"/>
        </w:rPr>
        <w:t>Perimeter Wood Frame:  To match panel veneer face.</w:t>
      </w:r>
    </w:p>
    <w:p>
      <w:pPr>
        <w:pStyle w:val="PR2"/>
        <w:numPr>
          <w:ilvl w:val="5"/>
          <w:numId w:val="2"/>
        </w:numPr>
      </w:pPr>
      <w:r>
        <w:rPr>
          <w:rStyle w:val="Hyperlink.0"/>
          <w:rtl w:val="0"/>
        </w:rPr>
        <w:t>Width:  [</w:t>
      </w:r>
      <w:r>
        <w:rPr>
          <w:rStyle w:val="None"/>
          <w:b w:val="1"/>
          <w:bCs w:val="1"/>
          <w:rtl w:val="0"/>
          <w:lang w:val="en-US"/>
        </w:rPr>
        <w:t>1 inch]</w:t>
      </w:r>
      <w:r>
        <w:rPr>
          <w:rStyle w:val="Hyperlink.0"/>
          <w:rtl w:val="0"/>
        </w:rPr>
        <w:t xml:space="preserve"> </w:t>
      </w:r>
      <w:r>
        <w:rPr>
          <w:rStyle w:val="None"/>
          <w:b w:val="1"/>
          <w:bCs w:val="1"/>
          <w:rtl w:val="0"/>
          <w:lang w:val="en-US"/>
        </w:rPr>
        <w:t>[2 inch].</w:t>
      </w:r>
    </w:p>
    <w:p>
      <w:pPr>
        <w:pStyle w:val="PR1"/>
        <w:numPr>
          <w:ilvl w:val="4"/>
          <w:numId w:val="2"/>
        </w:numPr>
      </w:pPr>
      <w:r>
        <w:rPr>
          <w:rStyle w:val="Hyperlink.0"/>
          <w:rtl w:val="0"/>
        </w:rPr>
        <w:t>Adhesives:   EPA [and California Air Resources Board] VOC compliant.</w:t>
      </w:r>
    </w:p>
    <w:p>
      <w:pPr>
        <w:pStyle w:val="PR1"/>
        <w:numPr>
          <w:ilvl w:val="4"/>
          <w:numId w:val="2"/>
        </w:numPr>
      </w:pPr>
      <w:r>
        <w:rPr>
          <w:rStyle w:val="Hyperlink.0"/>
          <w:rtl w:val="0"/>
        </w:rPr>
        <w:t>Mounting Clips:  As standard with manufacturer, or as required for installation method.</w:t>
      </w:r>
    </w:p>
    <w:p>
      <w:pPr>
        <w:pStyle w:val="ART"/>
        <w:numPr>
          <w:ilvl w:val="3"/>
          <w:numId w:val="2"/>
        </w:numPr>
      </w:pPr>
      <w:r>
        <w:rPr>
          <w:rStyle w:val="Hyperlink.0"/>
          <w:rtl w:val="0"/>
        </w:rPr>
        <w:t>SUSPENSION SYSTEM</w:t>
      </w:r>
    </w:p>
    <w:p>
      <w:pPr>
        <w:pStyle w:val="PR1"/>
        <w:numPr>
          <w:ilvl w:val="4"/>
          <w:numId w:val="2"/>
        </w:numPr>
      </w:pPr>
      <w:r>
        <w:rPr>
          <w:rStyle w:val="Hyperlink.0"/>
          <w:rtl w:val="0"/>
        </w:rPr>
        <w:t>Suspension Grid and Hanger System:  As specified in Section [____________].</w:t>
      </w:r>
    </w:p>
    <w:p>
      <w:pPr>
        <w:pStyle w:val="CMT"/>
      </w:pPr>
    </w:p>
    <w:p>
      <w:pPr>
        <w:pStyle w:val="PR1"/>
        <w:numPr>
          <w:ilvl w:val="4"/>
          <w:numId w:val="2"/>
        </w:numPr>
      </w:pPr>
      <w:r>
        <w:rPr>
          <w:rStyle w:val="Hyperlink.0"/>
          <w:rtl w:val="0"/>
        </w:rPr>
        <w:t>Suspension Grid:  Direct-hung, exposed tee grid, 15/16-inch face; "Prelude XL" by Armstrong or equal.</w:t>
      </w:r>
    </w:p>
    <w:p>
      <w:pPr>
        <w:pStyle w:val="PR2"/>
        <w:numPr>
          <w:ilvl w:val="5"/>
          <w:numId w:val="2"/>
        </w:numPr>
      </w:pPr>
      <w:r>
        <w:rPr>
          <w:rStyle w:val="Hyperlink.0"/>
          <w:rtl w:val="0"/>
        </w:rPr>
        <w:t>Comply with ASTM C635.</w:t>
      </w:r>
    </w:p>
    <w:p>
      <w:pPr>
        <w:pStyle w:val="PR2"/>
        <w:numPr>
          <w:ilvl w:val="5"/>
          <w:numId w:val="2"/>
        </w:numPr>
      </w:pPr>
      <w:r>
        <w:rPr>
          <w:rStyle w:val="Hyperlink.0"/>
          <w:rtl w:val="0"/>
        </w:rPr>
        <w:t>Structural Classification:  Heavy-duty.</w:t>
      </w:r>
    </w:p>
    <w:p>
      <w:pPr>
        <w:pStyle w:val="PR1"/>
        <w:numPr>
          <w:ilvl w:val="4"/>
          <w:numId w:val="2"/>
        </w:numPr>
      </w:pPr>
      <w:r>
        <w:rPr>
          <w:rStyle w:val="Hyperlink.0"/>
          <w:rtl w:val="0"/>
        </w:rPr>
        <w:t>Suspension Wire and Rods:</w:t>
      </w:r>
    </w:p>
    <w:p>
      <w:pPr>
        <w:pStyle w:val="PR2"/>
        <w:numPr>
          <w:ilvl w:val="5"/>
          <w:numId w:val="2"/>
        </w:numPr>
      </w:pPr>
      <w:r>
        <w:rPr>
          <w:rStyle w:val="Hyperlink.0"/>
          <w:rtl w:val="0"/>
        </w:rPr>
        <w:t>Hanger Wire:  0.106 inch nominal diameter (12 gage), ASTM</w:t>
      </w:r>
      <w:r>
        <w:rPr>
          <w:rStyle w:val="Hyperlink.0"/>
          <w:rtl w:val="0"/>
        </w:rPr>
        <w:t> </w:t>
      </w:r>
      <w:r>
        <w:rPr>
          <w:rStyle w:val="Hyperlink.0"/>
          <w:rtl w:val="0"/>
        </w:rPr>
        <w:t>A641, Class</w:t>
      </w:r>
      <w:r>
        <w:rPr>
          <w:rStyle w:val="Hyperlink.0"/>
          <w:rtl w:val="0"/>
        </w:rPr>
        <w:t> </w:t>
      </w:r>
      <w:r>
        <w:rPr>
          <w:rStyle w:val="Hyperlink.0"/>
          <w:rtl w:val="0"/>
        </w:rPr>
        <w:t>1 zinc coating, soft temper.</w:t>
      </w:r>
    </w:p>
    <w:p>
      <w:pPr>
        <w:pStyle w:val="PR2"/>
        <w:numPr>
          <w:ilvl w:val="5"/>
          <w:numId w:val="2"/>
        </w:numPr>
      </w:pPr>
      <w:r>
        <w:rPr>
          <w:rStyle w:val="Hyperlink.0"/>
          <w:rtl w:val="0"/>
        </w:rPr>
        <w:t>Bracing Wire:  0.120-inch nominal diameter (10 gage), ASTM</w:t>
      </w:r>
      <w:r>
        <w:rPr>
          <w:rStyle w:val="Hyperlink.0"/>
          <w:rtl w:val="0"/>
        </w:rPr>
        <w:t> </w:t>
      </w:r>
      <w:r>
        <w:rPr>
          <w:rStyle w:val="Hyperlink.0"/>
          <w:rtl w:val="0"/>
        </w:rPr>
        <w:t>A641, Class</w:t>
      </w:r>
      <w:r>
        <w:rPr>
          <w:rStyle w:val="Hyperlink.0"/>
          <w:rtl w:val="0"/>
        </w:rPr>
        <w:t> </w:t>
      </w:r>
      <w:r>
        <w:rPr>
          <w:rStyle w:val="Hyperlink.0"/>
          <w:rtl w:val="0"/>
        </w:rPr>
        <w:t>1 zinc coating, soft temper.</w:t>
      </w:r>
    </w:p>
    <w:p>
      <w:pPr>
        <w:pStyle w:val="PR2"/>
        <w:numPr>
          <w:ilvl w:val="5"/>
          <w:numId w:val="2"/>
        </w:numPr>
      </w:pPr>
      <w:r>
        <w:rPr>
          <w:rStyle w:val="Hyperlink.0"/>
          <w:rtl w:val="0"/>
        </w:rPr>
        <w:t xml:space="preserve">Suspension Rods:  Low-strength steel </w:t>
      </w:r>
      <w:r>
        <w:rPr>
          <w:rStyle w:val="Hyperlink.0"/>
          <w:rtl w:val="0"/>
        </w:rPr>
        <w:t>“</w:t>
      </w:r>
      <w:r>
        <w:rPr>
          <w:rStyle w:val="Hyperlink.0"/>
          <w:rtl w:val="0"/>
        </w:rPr>
        <w:t>all-thread,</w:t>
      </w:r>
      <w:r>
        <w:rPr>
          <w:rStyle w:val="Hyperlink.0"/>
          <w:rtl w:val="0"/>
        </w:rPr>
        <w:t xml:space="preserve">” </w:t>
      </w:r>
      <w:r>
        <w:rPr>
          <w:rStyle w:val="Hyperlink.0"/>
          <w:rtl w:val="0"/>
        </w:rPr>
        <w:t>diameter as required, Class</w:t>
      </w:r>
      <w:r>
        <w:rPr>
          <w:rStyle w:val="Hyperlink.0"/>
          <w:rtl w:val="0"/>
        </w:rPr>
        <w:t> </w:t>
      </w:r>
      <w:r>
        <w:rPr>
          <w:rStyle w:val="Hyperlink.0"/>
          <w:rtl w:val="0"/>
        </w:rPr>
        <w:t>1 zinc coating.</w:t>
      </w:r>
    </w:p>
    <w:p>
      <w:pPr>
        <w:pStyle w:val="PR1"/>
        <w:numPr>
          <w:ilvl w:val="4"/>
          <w:numId w:val="2"/>
        </w:numPr>
      </w:pPr>
      <w:r>
        <w:rPr>
          <w:rStyle w:val="Hyperlink.0"/>
          <w:rtl w:val="0"/>
        </w:rPr>
        <w:t>Compression Struts:  As shown on the Drawings, or manufactured struts; Donn "Seismic Compression Post,</w:t>
      </w:r>
      <w:r>
        <w:rPr>
          <w:rStyle w:val="Hyperlink.0"/>
          <w:rtl w:val="0"/>
        </w:rPr>
        <w:t xml:space="preserve">” </w:t>
      </w:r>
      <w:r>
        <w:rPr>
          <w:rStyle w:val="Hyperlink.0"/>
          <w:rtl w:val="0"/>
        </w:rPr>
        <w:t>or accepted equal.</w:t>
      </w:r>
    </w:p>
    <w:p>
      <w:pPr>
        <w:pStyle w:val="PR1"/>
        <w:numPr>
          <w:ilvl w:val="4"/>
          <w:numId w:val="2"/>
        </w:numPr>
      </w:pPr>
      <w:r>
        <w:rPr>
          <w:rStyle w:val="Hyperlink.0"/>
          <w:rtl w:val="0"/>
        </w:rPr>
        <w:t>Attachment Devices:  Size for five times design load required by ASTM C635, Table 1, Direct Hung, unless otherwise indicated.</w:t>
      </w:r>
    </w:p>
    <w:p>
      <w:pPr>
        <w:pStyle w:val="PR1"/>
        <w:numPr>
          <w:ilvl w:val="4"/>
          <w:numId w:val="2"/>
        </w:numPr>
      </w:pPr>
      <w:r>
        <w:rPr>
          <w:rStyle w:val="Hyperlink.0"/>
          <w:rtl w:val="0"/>
        </w:rPr>
        <w:t>Finish:</w:t>
      </w:r>
    </w:p>
    <w:p>
      <w:pPr>
        <w:pStyle w:val="PR2"/>
        <w:numPr>
          <w:ilvl w:val="5"/>
          <w:numId w:val="2"/>
        </w:numPr>
      </w:pPr>
      <w:r>
        <w:rPr>
          <w:rStyle w:val="Hyperlink.0"/>
          <w:rtl w:val="0"/>
        </w:rPr>
        <w:t>Steel components shall be Bonderized and given a coat of rust-inhibitive paint.</w:t>
      </w:r>
    </w:p>
    <w:p>
      <w:pPr>
        <w:pStyle w:val="PR2"/>
        <w:numPr>
          <w:ilvl w:val="5"/>
          <w:numId w:val="2"/>
        </w:numPr>
      </w:pPr>
      <w:r>
        <w:rPr>
          <w:rStyle w:val="Hyperlink.0"/>
          <w:rtl w:val="0"/>
        </w:rPr>
        <w:t>Exposed surfaces of components shall have a factory-applied flat black finish paint.</w:t>
      </w:r>
    </w:p>
    <w:p>
      <w:pPr>
        <w:pStyle w:val="ART"/>
        <w:keepLines w:val="1"/>
        <w:numPr>
          <w:ilvl w:val="3"/>
          <w:numId w:val="2"/>
        </w:numPr>
        <w:rPr>
          <w:lang w:val="en-US"/>
        </w:rPr>
      </w:pPr>
      <w:r>
        <w:rPr>
          <w:rStyle w:val="Hyperlink.0"/>
          <w:rtl w:val="0"/>
          <w:lang w:val="en-US"/>
        </w:rPr>
        <w:t>[ADDITIONAL MATERIALS]</w:t>
      </w:r>
    </w:p>
    <w:p>
      <w:pPr>
        <w:pStyle w:val="PR1"/>
        <w:numPr>
          <w:ilvl w:val="4"/>
          <w:numId w:val="2"/>
        </w:numPr>
      </w:pPr>
      <w:r>
        <w:rPr>
          <w:rStyle w:val="Hyperlink.0"/>
          <w:rtl w:val="0"/>
        </w:rPr>
        <w:t>[Acoustical Backing:  Glass fiber board with black, non-woven mat facing fully bonded to core, conforming to ASTM C612, Class 1A, "CertaPro AcoustaBoard Black" by CertainTeed, or equal.</w:t>
      </w:r>
    </w:p>
    <w:p>
      <w:pPr>
        <w:pStyle w:val="PR2"/>
        <w:numPr>
          <w:ilvl w:val="5"/>
          <w:numId w:val="2"/>
        </w:numPr>
      </w:pPr>
      <w:r>
        <w:rPr>
          <w:rStyle w:val="Hyperlink.0"/>
          <w:rtl w:val="0"/>
        </w:rPr>
        <w:t xml:space="preserve">Thickness:  </w:t>
      </w:r>
      <w:r>
        <w:rPr>
          <w:rStyle w:val="None"/>
          <w:b w:val="1"/>
          <w:bCs w:val="1"/>
          <w:rtl w:val="0"/>
          <w:lang w:val="en-US"/>
        </w:rPr>
        <w:t>[1 inch] [1-1/2] [2] [___]</w:t>
      </w:r>
      <w:r>
        <w:rPr>
          <w:rStyle w:val="Hyperlink.0"/>
          <w:rtl w:val="0"/>
        </w:rPr>
        <w:t xml:space="preserve"> inch.</w:t>
      </w:r>
    </w:p>
    <w:p>
      <w:pPr>
        <w:pStyle w:val="PR2"/>
        <w:numPr>
          <w:ilvl w:val="5"/>
          <w:numId w:val="2"/>
        </w:numPr>
      </w:pPr>
      <w:r>
        <w:rPr>
          <w:rStyle w:val="Hyperlink.0"/>
          <w:rtl w:val="0"/>
        </w:rPr>
        <w:t xml:space="preserve">Density:  3.0 </w:t>
      </w:r>
      <w:r>
        <w:rPr>
          <w:rStyle w:val="None"/>
          <w:b w:val="1"/>
          <w:bCs w:val="1"/>
          <w:rtl w:val="0"/>
          <w:lang w:val="en-US"/>
        </w:rPr>
        <w:t>[___]</w:t>
      </w:r>
      <w:r>
        <w:rPr>
          <w:rStyle w:val="Hyperlink.0"/>
          <w:rtl w:val="0"/>
        </w:rPr>
        <w:t xml:space="preserve"> pounds per cubic foot.</w:t>
      </w:r>
    </w:p>
    <w:p>
      <w:pPr>
        <w:pStyle w:val="PR2"/>
        <w:numPr>
          <w:ilvl w:val="5"/>
          <w:numId w:val="2"/>
        </w:numPr>
      </w:pPr>
      <w:r>
        <w:rPr>
          <w:rStyle w:val="Hyperlink.0"/>
          <w:rtl w:val="0"/>
        </w:rPr>
        <w:t>Surface Burning Characteristics:  UL723.</w:t>
      </w:r>
    </w:p>
    <w:p>
      <w:pPr>
        <w:pStyle w:val="PR3"/>
        <w:numPr>
          <w:ilvl w:val="6"/>
          <w:numId w:val="2"/>
        </w:numPr>
      </w:pPr>
      <w:r>
        <w:rPr>
          <w:rStyle w:val="Hyperlink.0"/>
          <w:rtl w:val="0"/>
        </w:rPr>
        <w:t>Smoke Developed:  50 or less.</w:t>
      </w:r>
    </w:p>
    <w:p>
      <w:pPr>
        <w:pStyle w:val="PR3"/>
        <w:numPr>
          <w:ilvl w:val="6"/>
          <w:numId w:val="2"/>
        </w:numPr>
      </w:pPr>
      <w:r>
        <w:rPr>
          <w:rStyle w:val="Hyperlink.0"/>
          <w:rtl w:val="0"/>
        </w:rPr>
        <w:t>Flame Spread:  25 or less.]</w:t>
      </w:r>
    </w:p>
    <w:p>
      <w:pPr>
        <w:pStyle w:val="ART"/>
        <w:keepLines w:val="1"/>
        <w:numPr>
          <w:ilvl w:val="3"/>
          <w:numId w:val="2"/>
        </w:numPr>
        <w:rPr>
          <w:lang w:val="en-US"/>
        </w:rPr>
      </w:pPr>
      <w:r>
        <w:rPr>
          <w:rStyle w:val="Hyperlink.0"/>
          <w:rtl w:val="0"/>
          <w:lang w:val="en-US"/>
        </w:rPr>
        <w:t>FABRICATION</w:t>
      </w:r>
    </w:p>
    <w:p>
      <w:pPr>
        <w:pStyle w:val="PR1"/>
        <w:numPr>
          <w:ilvl w:val="4"/>
          <w:numId w:val="2"/>
        </w:numPr>
      </w:pPr>
      <w:r>
        <w:rPr>
          <w:rStyle w:val="Hyperlink.0"/>
          <w:rtl w:val="0"/>
        </w:rPr>
        <w:t>Fabricate in accordance with reviewed shop drawings.</w:t>
      </w:r>
    </w:p>
    <w:p>
      <w:pPr>
        <w:pStyle w:val="PR1"/>
        <w:numPr>
          <w:ilvl w:val="4"/>
          <w:numId w:val="2"/>
        </w:numPr>
      </w:pPr>
      <w:r>
        <w:rPr>
          <w:rStyle w:val="Hyperlink.0"/>
          <w:rtl w:val="0"/>
        </w:rPr>
        <w:t>Fabrication Tolerances:  Complying with CISCA Wood Ceilings Technical Guidelines.</w:t>
      </w:r>
    </w:p>
    <w:p>
      <w:pPr>
        <w:pStyle w:val="ART"/>
        <w:numPr>
          <w:ilvl w:val="3"/>
          <w:numId w:val="2"/>
        </w:numPr>
      </w:pPr>
      <w:r>
        <w:rPr>
          <w:rStyle w:val="Hyperlink.0"/>
          <w:rtl w:val="0"/>
        </w:rPr>
        <w:t>FINISHES</w:t>
      </w:r>
    </w:p>
    <w:p>
      <w:pPr>
        <w:pStyle w:val="PR1"/>
        <w:numPr>
          <w:ilvl w:val="4"/>
          <w:numId w:val="2"/>
        </w:numPr>
      </w:pPr>
      <w:r>
        <w:rPr>
          <w:rStyle w:val="Hyperlink.0"/>
          <w:rtl w:val="0"/>
        </w:rPr>
        <w:t>Shop Finishing:  [Transparent, water-based UV-cured matte finish as standard with manufacturer.][Insert custom requirements.]</w:t>
      </w:r>
    </w:p>
    <w:p>
      <w:pPr>
        <w:pStyle w:val="PRT"/>
        <w:numPr>
          <w:ilvl w:val="0"/>
          <w:numId w:val="2"/>
        </w:numPr>
      </w:pPr>
      <w:r>
        <w:rPr>
          <w:rStyle w:val="Hyperlink.0"/>
          <w:rtl w:val="0"/>
        </w:rPr>
        <w:t>EXECUTION</w:t>
      </w:r>
    </w:p>
    <w:p>
      <w:pPr>
        <w:pStyle w:val="CMT"/>
      </w:pPr>
    </w:p>
    <w:p>
      <w:pPr>
        <w:pStyle w:val="ART"/>
        <w:numPr>
          <w:ilvl w:val="3"/>
          <w:numId w:val="2"/>
        </w:numPr>
      </w:pPr>
      <w:r>
        <w:rPr>
          <w:rStyle w:val="Hyperlink.0"/>
          <w:rtl w:val="0"/>
        </w:rPr>
        <w:t>INSTALLATION of suspension system</w:t>
      </w:r>
    </w:p>
    <w:p>
      <w:pPr>
        <w:pStyle w:val="PR1"/>
        <w:numPr>
          <w:ilvl w:val="4"/>
          <w:numId w:val="2"/>
        </w:numPr>
      </w:pPr>
      <w:r>
        <w:rPr>
          <w:rStyle w:val="Hyperlink.0"/>
          <w:rtl w:val="0"/>
        </w:rPr>
        <w:t xml:space="preserve">General: Install suspension system, including necessary hangers, grillage, and other supporting hardware in accordance with the </w:t>
      </w:r>
      <w:r>
        <w:rPr>
          <w:rStyle w:val="None"/>
          <w:b w:val="1"/>
          <w:bCs w:val="1"/>
          <w:rtl w:val="0"/>
          <w:lang w:val="en-US"/>
        </w:rPr>
        <w:t>[IBC] [____]</w:t>
      </w:r>
      <w:r>
        <w:rPr>
          <w:rStyle w:val="Hyperlink.0"/>
          <w:rtl w:val="0"/>
        </w:rPr>
        <w:t>, ASTM C636, and procedures in CISCA publication "Acoustical Ceiling Use and Practice." Comply with the most stringent requirements.</w:t>
      </w:r>
    </w:p>
    <w:p>
      <w:pPr>
        <w:pStyle w:val="PR1"/>
        <w:numPr>
          <w:ilvl w:val="4"/>
          <w:numId w:val="2"/>
        </w:numPr>
      </w:pPr>
      <w:r>
        <w:rPr>
          <w:rStyle w:val="Hyperlink.0"/>
          <w:rtl w:val="0"/>
        </w:rPr>
        <w:t>Hangers:</w:t>
      </w:r>
    </w:p>
    <w:p>
      <w:pPr>
        <w:pStyle w:val="PR2"/>
        <w:numPr>
          <w:ilvl w:val="5"/>
          <w:numId w:val="2"/>
        </w:numPr>
      </w:pPr>
      <w:r>
        <w:rPr>
          <w:rStyle w:val="Hyperlink.0"/>
          <w:rtl w:val="0"/>
        </w:rPr>
        <w:t>Coordinate hanger location with other work.  Hanger wire attachment devices shall be capable of supporting 100 pounds.</w:t>
      </w:r>
    </w:p>
    <w:p>
      <w:pPr>
        <w:pStyle w:val="PR2"/>
        <w:numPr>
          <w:ilvl w:val="5"/>
          <w:numId w:val="2"/>
        </w:numPr>
      </w:pPr>
      <w:r>
        <w:rPr>
          <w:rStyle w:val="Hyperlink.0"/>
          <w:rtl w:val="0"/>
        </w:rPr>
        <w:t>Ensure that hangers and carrying channels are located to accommodate fittings and equipment that are to be placed after installation of ceiling grid system.</w:t>
      </w:r>
    </w:p>
    <w:p>
      <w:pPr>
        <w:pStyle w:val="PR2"/>
        <w:numPr>
          <w:ilvl w:val="5"/>
          <w:numId w:val="2"/>
        </w:numPr>
      </w:pPr>
      <w:r>
        <w:rPr>
          <w:rStyle w:val="Hyperlink.0"/>
          <w:rtl w:val="0"/>
        </w:rPr>
        <w:t xml:space="preserve">Space hanger wire </w:t>
      </w:r>
      <w:r>
        <w:rPr>
          <w:rStyle w:val="None"/>
          <w:b w:val="1"/>
          <w:bCs w:val="1"/>
          <w:rtl w:val="0"/>
          <w:lang w:val="en-US"/>
        </w:rPr>
        <w:t>[4 feet on center, each direction with maximum supported tributary area of 16 square feet]</w:t>
      </w:r>
      <w:r>
        <w:rPr>
          <w:rStyle w:val="Hyperlink.0"/>
          <w:rtl w:val="0"/>
        </w:rPr>
        <w:t xml:space="preserve"> </w:t>
      </w:r>
      <w:r>
        <w:rPr>
          <w:rStyle w:val="None"/>
          <w:b w:val="1"/>
          <w:bCs w:val="1"/>
          <w:rtl w:val="0"/>
          <w:lang w:val="en-US"/>
        </w:rPr>
        <w:t>[as required by code for specified wire gage</w:t>
      </w:r>
      <w:r>
        <w:rPr>
          <w:rStyle w:val="Hyperlink.0"/>
          <w:rtl w:val="0"/>
        </w:rPr>
        <w:t>].</w:t>
      </w:r>
    </w:p>
    <w:p>
      <w:pPr>
        <w:pStyle w:val="PR2"/>
        <w:numPr>
          <w:ilvl w:val="5"/>
          <w:numId w:val="2"/>
        </w:numPr>
      </w:pPr>
      <w:r>
        <w:rPr>
          <w:rStyle w:val="Hyperlink.0"/>
          <w:rtl w:val="0"/>
        </w:rPr>
        <w:t>Install additional hangers at ends of each suspension member and 6 inches from vertical surfaces.</w:t>
      </w:r>
    </w:p>
    <w:p>
      <w:pPr>
        <w:pStyle w:val="PR2"/>
        <w:numPr>
          <w:ilvl w:val="5"/>
          <w:numId w:val="2"/>
        </w:numPr>
      </w:pPr>
      <w:r>
        <w:rPr>
          <w:rStyle w:val="Hyperlink.0"/>
          <w:rtl w:val="0"/>
        </w:rPr>
        <w:t>Do not splay wires more than 5 inches in a 4 foot vertical drop.</w:t>
      </w:r>
    </w:p>
    <w:p>
      <w:pPr>
        <w:pStyle w:val="PR2"/>
        <w:numPr>
          <w:ilvl w:val="5"/>
          <w:numId w:val="2"/>
        </w:numPr>
      </w:pPr>
      <w:r>
        <w:rPr>
          <w:rStyle w:val="Hyperlink.0"/>
          <w:rtl w:val="0"/>
        </w:rPr>
        <w:t>Wrap wire at least three times horizontally, turning ends upward in the first 3 inches.</w:t>
      </w:r>
    </w:p>
    <w:p>
      <w:pPr>
        <w:pStyle w:val="PR2"/>
        <w:numPr>
          <w:ilvl w:val="5"/>
          <w:numId w:val="2"/>
        </w:numPr>
      </w:pPr>
      <w:r>
        <w:rPr>
          <w:rStyle w:val="Hyperlink.0"/>
          <w:rtl w:val="0"/>
        </w:rPr>
        <w:t>Provide trapeze suspension or other appropriate system for suspension of ceiling system at large ductwork and other similar obstructions.</w:t>
      </w:r>
    </w:p>
    <w:p>
      <w:pPr>
        <w:pStyle w:val="PR2"/>
        <w:numPr>
          <w:ilvl w:val="5"/>
          <w:numId w:val="2"/>
        </w:numPr>
      </w:pPr>
      <w:r>
        <w:rPr>
          <w:rStyle w:val="Hyperlink.0"/>
          <w:rtl w:val="0"/>
        </w:rPr>
        <w:t>Kinks and bends are not permitted in hanger wires to level carrying channels.</w:t>
      </w:r>
    </w:p>
    <w:p>
      <w:pPr>
        <w:pStyle w:val="PR1"/>
        <w:numPr>
          <w:ilvl w:val="4"/>
          <w:numId w:val="2"/>
        </w:numPr>
      </w:pPr>
      <w:r>
        <w:rPr>
          <w:rStyle w:val="Hyperlink.0"/>
          <w:rtl w:val="0"/>
        </w:rPr>
        <w:t>Main Runners:</w:t>
      </w:r>
    </w:p>
    <w:p>
      <w:pPr>
        <w:pStyle w:val="PR2"/>
        <w:numPr>
          <w:ilvl w:val="5"/>
          <w:numId w:val="2"/>
        </w:numPr>
      </w:pPr>
      <w:r>
        <w:rPr>
          <w:rStyle w:val="Hyperlink.0"/>
          <w:rtl w:val="0"/>
        </w:rPr>
        <w:t>Space main runners at 4 feet on center.</w:t>
      </w:r>
    </w:p>
    <w:p>
      <w:pPr>
        <w:pStyle w:val="PR2"/>
        <w:numPr>
          <w:ilvl w:val="5"/>
          <w:numId w:val="2"/>
        </w:numPr>
      </w:pPr>
      <w:r>
        <w:rPr>
          <w:rStyle w:val="Hyperlink.0"/>
          <w:rtl w:val="0"/>
        </w:rPr>
        <w:t>Level and square to adjacent walls.</w:t>
      </w:r>
    </w:p>
    <w:p>
      <w:pPr>
        <w:pStyle w:val="PR2"/>
        <w:numPr>
          <w:ilvl w:val="5"/>
          <w:numId w:val="2"/>
        </w:numPr>
      </w:pPr>
      <w:r>
        <w:rPr>
          <w:rStyle w:val="Hyperlink.0"/>
          <w:rtl w:val="0"/>
        </w:rPr>
        <w:t>Secure to structure above with four-way, bracing wire splays as specified and to meet applicable building code requirements for lateral design.</w:t>
      </w:r>
    </w:p>
    <w:p>
      <w:pPr>
        <w:pStyle w:val="PR1"/>
        <w:numPr>
          <w:ilvl w:val="4"/>
          <w:numId w:val="2"/>
        </w:numPr>
      </w:pPr>
      <w:r>
        <w:rPr>
          <w:rStyle w:val="Hyperlink.0"/>
          <w:rtl w:val="0"/>
        </w:rPr>
        <w:t>Space cross runners at 2 feet on center.</w:t>
      </w:r>
    </w:p>
    <w:p>
      <w:pPr>
        <w:pStyle w:val="PR1"/>
        <w:numPr>
          <w:ilvl w:val="4"/>
          <w:numId w:val="2"/>
        </w:numPr>
      </w:pPr>
      <w:r>
        <w:rPr>
          <w:rStyle w:val="Hyperlink.0"/>
          <w:rtl w:val="0"/>
        </w:rPr>
        <w:t>Seismic Bracing Assembly:  Compression struts and splayed wires.</w:t>
      </w:r>
    </w:p>
    <w:p>
      <w:pPr>
        <w:pStyle w:val="PR2"/>
        <w:numPr>
          <w:ilvl w:val="5"/>
          <w:numId w:val="2"/>
        </w:numPr>
      </w:pPr>
      <w:r>
        <w:rPr>
          <w:rStyle w:val="Hyperlink.0"/>
          <w:rtl w:val="0"/>
        </w:rPr>
        <w:t>Horizontal Restraints:  4 splayed wires oriented 90 degrees from each other.</w:t>
      </w:r>
    </w:p>
    <w:p>
      <w:pPr>
        <w:pStyle w:val="PR3"/>
        <w:numPr>
          <w:ilvl w:val="6"/>
          <w:numId w:val="2"/>
        </w:numPr>
      </w:pPr>
      <w:r>
        <w:rPr>
          <w:rStyle w:val="Hyperlink.0"/>
          <w:rtl w:val="0"/>
        </w:rPr>
        <w:t>Seismic bracing wires may be 12 gage if permitted by code.</w:t>
      </w:r>
    </w:p>
    <w:p>
      <w:pPr>
        <w:pStyle w:val="PR3"/>
        <w:numPr>
          <w:ilvl w:val="6"/>
          <w:numId w:val="2"/>
        </w:numPr>
      </w:pPr>
      <w:r>
        <w:rPr>
          <w:rStyle w:val="Hyperlink.0"/>
          <w:rtl w:val="0"/>
        </w:rPr>
        <w:t>Provide at no more than 12 feet on center in each direction</w:t>
      </w:r>
      <w:r>
        <w:rPr>
          <w:rStyle w:val="None"/>
          <w:b w:val="1"/>
          <w:bCs w:val="1"/>
          <w:rtl w:val="0"/>
          <w:lang w:val="en-US"/>
        </w:rPr>
        <w:t xml:space="preserve"> [and as noted on the Drawings]</w:t>
      </w:r>
      <w:r>
        <w:rPr>
          <w:rStyle w:val="Hyperlink.0"/>
          <w:rtl w:val="0"/>
        </w:rPr>
        <w:t>:</w:t>
      </w:r>
    </w:p>
    <w:p>
      <w:pPr>
        <w:pStyle w:val="PR3"/>
        <w:numPr>
          <w:ilvl w:val="6"/>
          <w:numId w:val="2"/>
        </w:numPr>
      </w:pPr>
      <w:r>
        <w:rPr>
          <w:rStyle w:val="Hyperlink.0"/>
          <w:rtl w:val="0"/>
        </w:rPr>
        <w:t>Splices in bracing wires are not permitted.</w:t>
      </w:r>
    </w:p>
    <w:p>
      <w:pPr>
        <w:pStyle w:val="PR3"/>
        <w:numPr>
          <w:ilvl w:val="6"/>
          <w:numId w:val="2"/>
        </w:numPr>
      </w:pPr>
      <w:r>
        <w:rPr>
          <w:rStyle w:val="Hyperlink.0"/>
          <w:rtl w:val="0"/>
        </w:rPr>
        <w:t>Angle of wires shall not exceed 45 degrees from the plane of the ceiling.</w:t>
      </w:r>
    </w:p>
    <w:p>
      <w:pPr>
        <w:pStyle w:val="PR2"/>
        <w:numPr>
          <w:ilvl w:val="5"/>
          <w:numId w:val="2"/>
        </w:numPr>
      </w:pPr>
      <w:r>
        <w:rPr>
          <w:rStyle w:val="Hyperlink.0"/>
          <w:rtl w:val="0"/>
        </w:rPr>
        <w:t>Vertical Compression Struts:  A strut to resist vertical displacement at each seismic splay.</w:t>
      </w:r>
    </w:p>
    <w:p>
      <w:pPr>
        <w:pStyle w:val="PR3"/>
        <w:numPr>
          <w:ilvl w:val="6"/>
          <w:numId w:val="2"/>
        </w:numPr>
      </w:pPr>
      <w:r>
        <w:rPr>
          <w:rStyle w:val="Hyperlink.0"/>
          <w:rtl w:val="0"/>
        </w:rPr>
        <w:t>Struts shall extend from the grid to structure above and shall be fastened at both ends.</w:t>
      </w:r>
    </w:p>
    <w:p>
      <w:pPr>
        <w:pStyle w:val="PR3"/>
        <w:numPr>
          <w:ilvl w:val="6"/>
          <w:numId w:val="2"/>
        </w:numPr>
      </w:pPr>
      <w:r>
        <w:rPr>
          <w:rStyle w:val="Hyperlink.0"/>
          <w:rtl w:val="0"/>
        </w:rPr>
        <w:t>Compression struts shall not replace hanger wires.</w:t>
      </w:r>
    </w:p>
    <w:p>
      <w:pPr>
        <w:pStyle w:val="PR3"/>
        <w:numPr>
          <w:ilvl w:val="6"/>
          <w:numId w:val="2"/>
        </w:numPr>
      </w:pPr>
      <w:r>
        <w:rPr>
          <w:rStyle w:val="Hyperlink.0"/>
          <w:rtl w:val="0"/>
        </w:rPr>
        <w:t>If other than a manufactured proprietary strut is used, it shall be approved by the [_________].</w:t>
      </w:r>
    </w:p>
    <w:p>
      <w:pPr>
        <w:pStyle w:val="PR3"/>
        <w:numPr>
          <w:ilvl w:val="6"/>
          <w:numId w:val="2"/>
        </w:numPr>
      </w:pPr>
      <w:r>
        <w:rPr>
          <w:rStyle w:val="Hyperlink.0"/>
          <w:rtl w:val="0"/>
        </w:rPr>
        <w:t>Ceiling areas exceeding 2,500 square feet shall have a seismic separation joint with each area provided with closure angles.</w:t>
      </w:r>
    </w:p>
    <w:p>
      <w:pPr>
        <w:pStyle w:val="PR3"/>
        <w:numPr>
          <w:ilvl w:val="6"/>
          <w:numId w:val="2"/>
        </w:numPr>
      </w:pPr>
      <w:r>
        <w:rPr>
          <w:rStyle w:val="Hyperlink.0"/>
          <w:rtl w:val="0"/>
        </w:rPr>
        <w:t>Seismic perimeter clips shall have current and approved ICC-ES Report and shall be installed in accordance with the details and recommendations of the Report.</w:t>
      </w:r>
    </w:p>
    <w:p>
      <w:pPr>
        <w:pStyle w:val="PR2"/>
        <w:numPr>
          <w:ilvl w:val="5"/>
          <w:numId w:val="2"/>
        </w:numPr>
      </w:pPr>
      <w:r>
        <w:rPr>
          <w:rStyle w:val="Hyperlink.0"/>
          <w:rtl w:val="0"/>
        </w:rPr>
        <w:t>Provide spreader bars at all main and perimeter runners.</w:t>
      </w:r>
    </w:p>
    <w:p>
      <w:pPr>
        <w:pStyle w:val="ART"/>
        <w:numPr>
          <w:ilvl w:val="3"/>
          <w:numId w:val="2"/>
        </w:numPr>
      </w:pPr>
      <w:r>
        <w:rPr>
          <w:rStyle w:val="Hyperlink.0"/>
          <w:rtl w:val="0"/>
        </w:rPr>
        <w:t>installation of ceiling panels</w:t>
      </w:r>
    </w:p>
    <w:p>
      <w:pPr>
        <w:pStyle w:val="PR1"/>
        <w:numPr>
          <w:ilvl w:val="4"/>
          <w:numId w:val="2"/>
        </w:numPr>
      </w:pPr>
      <w:r>
        <w:rPr>
          <w:rStyle w:val="Hyperlink.0"/>
          <w:rtl w:val="0"/>
        </w:rPr>
        <w:t>Install panels by laying into in grid system in accordance with manufacturer's recommendations and procedures in CISCA publication "Acoustical Ceiling Use and Practice."</w:t>
      </w:r>
    </w:p>
    <w:p>
      <w:pPr>
        <w:pStyle w:val="PR1"/>
        <w:numPr>
          <w:ilvl w:val="4"/>
          <w:numId w:val="2"/>
        </w:numPr>
      </w:pPr>
      <w:r>
        <w:rPr>
          <w:rStyle w:val="Hyperlink.0"/>
          <w:rtl w:val="0"/>
        </w:rPr>
        <w:t>Secure perimeter rails with screws to bottom flange of suspension grid.</w:t>
      </w:r>
    </w:p>
    <w:p>
      <w:pPr>
        <w:pStyle w:val="PR1"/>
        <w:numPr>
          <w:ilvl w:val="4"/>
          <w:numId w:val="2"/>
        </w:numPr>
      </w:pPr>
      <w:r>
        <w:rPr>
          <w:rStyle w:val="Hyperlink.0"/>
          <w:rtl w:val="0"/>
        </w:rPr>
        <w:t>Install hold-down clips to prevent movement or displacement of panels.</w:t>
      </w:r>
    </w:p>
    <w:p>
      <w:pPr>
        <w:pStyle w:val="PR1"/>
        <w:numPr>
          <w:ilvl w:val="4"/>
          <w:numId w:val="2"/>
        </w:numPr>
      </w:pPr>
      <w:r>
        <w:rPr>
          <w:rStyle w:val="Hyperlink.0"/>
          <w:rtl w:val="0"/>
        </w:rPr>
        <w:t>Coordinate lay-in system with electrical fixtures and mechanical work that interfaces with ceiling.</w:t>
      </w:r>
    </w:p>
    <w:p>
      <w:pPr>
        <w:pStyle w:val="ART"/>
        <w:numPr>
          <w:ilvl w:val="3"/>
          <w:numId w:val="2"/>
        </w:numPr>
      </w:pPr>
      <w:r>
        <w:rPr>
          <w:rStyle w:val="Hyperlink.0"/>
          <w:rtl w:val="0"/>
        </w:rPr>
        <w:t>CLEANING AND PROTECTION</w:t>
      </w:r>
    </w:p>
    <w:p>
      <w:pPr>
        <w:pStyle w:val="PR1"/>
        <w:numPr>
          <w:ilvl w:val="4"/>
          <w:numId w:val="2"/>
        </w:numPr>
      </w:pPr>
      <w:r>
        <w:rPr>
          <w:rStyle w:val="Hyperlink.0"/>
          <w:rtl w:val="0"/>
        </w:rPr>
        <w:t>Clean panels as recommended by manufacturer.</w:t>
      </w:r>
    </w:p>
    <w:p>
      <w:pPr>
        <w:pStyle w:val="PR1"/>
        <w:numPr>
          <w:ilvl w:val="4"/>
          <w:numId w:val="2"/>
        </w:numPr>
      </w:pPr>
      <w:r>
        <w:rPr>
          <w:rStyle w:val="Hyperlink.0"/>
          <w:rtl w:val="0"/>
        </w:rPr>
        <w:t>Prevent damage to panels during remainder of construction.</w:t>
      </w:r>
    </w:p>
    <w:p>
      <w:pPr>
        <w:pStyle w:val="EOS"/>
      </w:pPr>
      <w:r>
        <w:rPr>
          <w:rStyle w:val="Hyperlink.0"/>
          <w:rtl w:val="0"/>
        </w:rPr>
        <w:t>END OF SECTION 09 84 36</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000"/>
      </w:tabs>
    </w:pPr>
    <w:r>
      <w:rPr>
        <w:rtl w:val="0"/>
        <w:lang w:val="en-US"/>
      </w:rPr>
      <w:t>Guide Specification</w:t>
      <w:tab/>
      <w:t>Microperf Acoustical Board Ceiling Panels</w:t>
    </w:r>
  </w:p>
  <w:p>
    <w:pPr>
      <w:pStyle w:val="footer"/>
      <w:tabs>
        <w:tab w:val="right" w:pos="9340"/>
        <w:tab w:val="clear" w:pos="9000"/>
      </w:tabs>
    </w:pPr>
    <w:r>
      <w:rPr>
        <w:rtl w:val="0"/>
        <w:lang w:val="en-US"/>
      </w:rPr>
      <w:t>©</w:t>
    </w:r>
    <w:r>
      <w:rPr>
        <w:rtl w:val="0"/>
        <w:lang w:val="en-US"/>
      </w:rPr>
      <w:t xml:space="preserve">2020 </w:t>
    </w:r>
    <w:r>
      <w:rPr>
        <w:rtl w:val="0"/>
        <w:lang w:val="en-US"/>
      </w:rPr>
      <w:t xml:space="preserve">– </w:t>
    </w:r>
    <w:r>
      <w:rPr>
        <w:rtl w:val="0"/>
        <w:lang w:val="en-US"/>
      </w:rPr>
      <w:t>Madrid Inc.</w:t>
      <w:tab/>
      <w:t xml:space="preserve">09 84 36 -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sz w:val="32"/>
        <w:szCs w:val="32"/>
        <w:shd w:val="nil" w:color="auto" w:fill="auto"/>
        <w:rtl w:val="0"/>
        <w:lang w:val="en-US"/>
      </w:rPr>
    </w:pPr>
    <w:r>
      <w:rPr>
        <w:sz w:val="24"/>
        <w:szCs w:val="24"/>
        <w:shd w:val="nil" w:color="auto" w:fill="auto"/>
      </w:rPr>
      <w:drawing xmlns:a="http://schemas.openxmlformats.org/drawingml/2006/main">
        <wp:inline distT="0" distB="0" distL="0" distR="0">
          <wp:extent cx="1592581" cy="356893"/>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592581" cy="356893"/>
                  </a:xfrm>
                  <a:prstGeom prst="rect">
                    <a:avLst/>
                  </a:prstGeom>
                  <a:ln w="12700" cap="flat">
                    <a:noFill/>
                    <a:miter lim="400000"/>
                  </a:ln>
                  <a:effectLst/>
                </pic:spPr>
              </pic:pic>
            </a:graphicData>
          </a:graphic>
        </wp:inline>
      </w:drawing>
    </w:r>
    <w:r>
      <w:rPr>
        <w:sz w:val="24"/>
        <w:szCs w:val="24"/>
        <w:shd w:val="nil" w:color="auto" w:fill="auto"/>
      </w:rPr>
      <w:tab/>
    </w:r>
    <w:r>
      <w:rPr>
        <w:sz w:val="32"/>
        <w:szCs w:val="32"/>
        <w:shd w:val="nil" w:color="auto" w:fill="auto"/>
        <w:rtl w:val="0"/>
        <w:lang w:val="en-US"/>
      </w:rPr>
      <w:t>Guide Specifications</w:t>
    </w:r>
  </w:p>
  <w:p>
    <w:pPr>
      <w:pStyle w:val="head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nothing"/>
      <w:lvlText w:val="%1."/>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864"/>
        </w:tabs>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clear" w:pos="864"/>
        </w:tabs>
        <w:ind w:left="864" w:hanging="5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1440"/>
        </w:tabs>
        <w:ind w:left="1440" w:hanging="5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clear" w:pos="2016"/>
        </w:tabs>
        <w:ind w:left="201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2592"/>
        </w:tabs>
        <w:ind w:left="2592"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168"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right" w:pos="900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right" w:pos="900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P">
    <w:name w:val="TIP"/>
    <w:next w:val="TIP"/>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suppressAutoHyphens w:val="0"/>
      <w:bidi w:val="0"/>
      <w:spacing w:before="2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b30838"/>
      <w:spacing w:val="0"/>
      <w:kern w:val="0"/>
      <w:position w:val="0"/>
      <w:sz w:val="22"/>
      <w:szCs w:val="22"/>
      <w:u w:val="none" w:color="b30838"/>
      <w:shd w:val="nil" w:color="auto" w:fill="auto"/>
      <w:vertAlign w:val="baseline"/>
      <w:lang w:val="en-US"/>
      <w14:textFill>
        <w14:solidFill>
          <w14:srgbClr w14:val="B30838"/>
        </w14:solidFill>
      </w14:textFill>
    </w:rPr>
  </w:style>
  <w:style w:type="character" w:styleId="None">
    <w:name w:val="None"/>
  </w:style>
  <w:style w:type="character" w:styleId="Hyperlink.0">
    <w:name w:val="Hyperlink.0"/>
    <w:basedOn w:val="None"/>
    <w:next w:val="Hyperlink.0"/>
    <w:rPr/>
  </w:style>
  <w:style w:type="paragraph" w:styleId="SCT">
    <w:name w:val="SCT"/>
    <w:next w:val="SCT"/>
    <w:pPr>
      <w:keepNext w:val="0"/>
      <w:keepLines w:val="0"/>
      <w:pageBreakBefore w:val="0"/>
      <w:widowControl w:val="1"/>
      <w:shd w:val="clear" w:color="auto" w:fill="auto"/>
      <w:suppressAutoHyphens w:val="1"/>
      <w:bidi w:val="0"/>
      <w:spacing w:before="240" w:after="0" w:line="240" w:lineRule="auto"/>
      <w:ind w:left="0" w:right="0" w:firstLine="0"/>
      <w:jc w:val="left"/>
      <w:outlineLvl w:val="9"/>
    </w:pPr>
    <w:rPr>
      <w:rFonts w:ascii="Times New Roman" w:cs="Arial Unicode MS" w:hAnsi="Times New Roman" w:eastAsia="Arial Unicode MS"/>
      <w:b w:val="0"/>
      <w:bCs w:val="0"/>
      <w:i w:val="0"/>
      <w:iCs w:val="0"/>
      <w:caps w:val="1"/>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PRT">
    <w:name w:val="PRT"/>
    <w:next w:val="Body"/>
    <w:pPr>
      <w:keepNext w:val="1"/>
      <w:keepLines w:val="0"/>
      <w:pageBreakBefore w:val="0"/>
      <w:widowControl w:val="1"/>
      <w:shd w:val="clear" w:color="auto" w:fill="auto"/>
      <w:suppressAutoHyphens w:val="1"/>
      <w:bidi w:val="0"/>
      <w:spacing w:before="480" w:after="0" w:line="240" w:lineRule="auto"/>
      <w:ind w:left="0" w:right="0" w:firstLine="0"/>
      <w:jc w:val="both"/>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paragraph" w:styleId="ART">
    <w:name w:val="ART"/>
    <w:next w:val="Body"/>
    <w:pPr>
      <w:keepNext w:val="1"/>
      <w:keepLines w:val="0"/>
      <w:pageBreakBefore w:val="0"/>
      <w:widowControl w:val="1"/>
      <w:shd w:val="clear" w:color="auto" w:fill="auto"/>
      <w:tabs>
        <w:tab w:val="left" w:pos="864"/>
      </w:tabs>
      <w:suppressAutoHyphens w:val="1"/>
      <w:bidi w:val="0"/>
      <w:spacing w:before="240" w:after="0" w:line="240" w:lineRule="auto"/>
      <w:ind w:left="0" w:right="0" w:firstLine="0"/>
      <w:jc w:val="both"/>
      <w:outlineLvl w:val="1"/>
    </w:pPr>
    <w:rPr>
      <w:rFonts w:ascii="Times New Roman" w:cs="Arial Unicode MS" w:hAnsi="Times New Roman" w:eastAsia="Arial Unicode MS"/>
      <w:b w:val="0"/>
      <w:bCs w:val="0"/>
      <w:i w:val="0"/>
      <w:iCs w:val="0"/>
      <w:caps w:val="1"/>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PR1">
    <w:name w:val="PR1"/>
    <w:next w:val="PR1"/>
    <w:pPr>
      <w:keepNext w:val="0"/>
      <w:keepLines w:val="0"/>
      <w:pageBreakBefore w:val="0"/>
      <w:widowControl w:val="1"/>
      <w:shd w:val="clear" w:color="auto" w:fill="auto"/>
      <w:tabs>
        <w:tab w:val="left" w:pos="864"/>
      </w:tabs>
      <w:suppressAutoHyphens w:val="1"/>
      <w:bidi w:val="0"/>
      <w:spacing w:before="240" w:after="0" w:line="240" w:lineRule="auto"/>
      <w:ind w:left="0" w:right="0" w:firstLine="0"/>
      <w:jc w:val="both"/>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MT">
    <w:name w:val="CMT"/>
    <w:next w:val="CMT"/>
    <w:pPr>
      <w:keepNext w:val="0"/>
      <w:keepLines w:val="0"/>
      <w:pageBreakBefore w:val="0"/>
      <w:widowControl w:val="1"/>
      <w:shd w:val="clear" w:color="auto" w:fill="auto"/>
      <w:suppressAutoHyphens w:val="1"/>
      <w:bidi w:val="0"/>
      <w:spacing w:before="120" w:after="12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2"/>
      <w:szCs w:val="22"/>
      <w:u w:val="none" w:color="0000ff"/>
      <w:shd w:val="nil" w:color="auto" w:fill="auto"/>
      <w:vertAlign w:val="baseline"/>
      <w:lang w:val="en-US"/>
      <w14:textFill>
        <w14:solidFill>
          <w14:srgbClr w14:val="0000FF"/>
        </w14:solidFill>
      </w14:textFill>
    </w:rPr>
  </w:style>
  <w:style w:type="paragraph" w:styleId="PR2">
    <w:name w:val="PR2"/>
    <w:next w:val="PR2"/>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both"/>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PR3">
    <w:name w:val="PR3"/>
    <w:next w:val="PR3"/>
    <w:pPr>
      <w:keepNext w:val="0"/>
      <w:keepLines w:val="0"/>
      <w:pageBreakBefore w:val="0"/>
      <w:widowControl w:val="1"/>
      <w:shd w:val="clear" w:color="auto" w:fill="auto"/>
      <w:tabs>
        <w:tab w:val="left" w:pos="2016"/>
      </w:tabs>
      <w:suppressAutoHyphens w:val="1"/>
      <w:bidi w:val="0"/>
      <w:spacing w:before="0" w:after="0" w:line="240" w:lineRule="auto"/>
      <w:ind w:left="0" w:right="0" w:firstLine="0"/>
      <w:jc w:val="both"/>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u w:val="none"/>
    </w:rPr>
  </w:style>
  <w:style w:type="paragraph" w:styleId="PR4">
    <w:name w:val="PR4"/>
    <w:next w:val="PR4"/>
    <w:pPr>
      <w:keepNext w:val="0"/>
      <w:keepLines w:val="0"/>
      <w:pageBreakBefore w:val="0"/>
      <w:widowControl w:val="1"/>
      <w:shd w:val="clear" w:color="auto" w:fill="auto"/>
      <w:tabs>
        <w:tab w:val="left" w:pos="2592"/>
      </w:tabs>
      <w:suppressAutoHyphens w:val="1"/>
      <w:bidi w:val="0"/>
      <w:spacing w:before="0" w:after="0" w:line="240" w:lineRule="auto"/>
      <w:ind w:left="0" w:right="0" w:firstLine="0"/>
      <w:jc w:val="both"/>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EOS">
    <w:name w:val="EOS"/>
    <w:next w:val="EOS"/>
    <w:pPr>
      <w:keepNext w:val="0"/>
      <w:keepLines w:val="0"/>
      <w:pageBreakBefore w:val="0"/>
      <w:widowControl w:val="1"/>
      <w:shd w:val="clear" w:color="auto" w:fill="auto"/>
      <w:suppressAutoHyphens w:val="1"/>
      <w:bidi w:val="0"/>
      <w:spacing w:before="480" w:after="0" w:line="240" w:lineRule="auto"/>
      <w:ind w:left="0" w:right="0" w:firstLine="0"/>
      <w:jc w:val="center"/>
      <w:outlineLvl w:val="9"/>
    </w:pPr>
    <w:rPr>
      <w:rFonts w:ascii="Times New Roman" w:cs="Arial Unicode MS" w:hAnsi="Times New Roman" w:eastAsia="Arial Unicode MS"/>
      <w:b w:val="0"/>
      <w:bCs w:val="0"/>
      <w:i w:val="0"/>
      <w:iCs w:val="0"/>
      <w:caps w:val="1"/>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